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a8d14e5046e311e8ade598b2394a491d">
        <w:r w:rsidRPr="00532B9F">
          <w:rPr>
            <w:rFonts w:ascii="Times New Roman" w:eastAsia="MS Mincho" w:hAnsi="Times New Roman"/>
            <w:sz w:val="20"/>
            <w:i/>
            <w:iCs/>
            <w:color w:val="0000FF" w:themeColor="hyperlink"/>
            <w:u w:val="single"/>
          </w:rPr>
          <w:t>V-394</w:t>
        </w:r>
      </w:fldSimple>
      <w:r>
        <w:rPr>
          <w:rFonts w:ascii="Times New Roman" w:eastAsia="MS Mincho" w:hAnsi="Times New Roman"/>
          <w:sz w:val="20"/>
          <w:i/>
          <w:iCs/>
        </w:rPr>
        <w:t>,
2018-04-10,
paskelbta TAR 2018-04-24, i. k. 2018-06471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pPr>
        <w:widowControl w:val="0"/>
        <w:suppressAutoHyphens/>
        <w:jc w:val="center"/>
        <w:rPr>
          <w:color w:val="000000"/>
        </w:rPr>
      </w:pPr>
    </w:p>
    <w:p>
      <w:pPr>
        <w:tabs>
          <w:tab w:val="center" w:pos="4819"/>
          <w:tab w:val="right" w:pos="9638"/>
        </w:tabs>
        <w:jc w:val="center"/>
        <w:rPr>
          <w:b/>
          <w:szCs w:val="24"/>
          <w:lang w:eastAsia="x-none"/>
        </w:rPr>
      </w:pPr>
      <w:r>
        <w:rPr>
          <w:b/>
          <w:szCs w:val="24"/>
          <w:lang w:eastAsia="x-none"/>
        </w:rPr>
        <w:t>ĮSAKYMAS</w:t>
      </w:r>
    </w:p>
    <w:p>
      <w:pPr>
        <w:widowControl w:val="0"/>
        <w:suppressAutoHyphens/>
        <w:jc w:val="center"/>
        <w:rPr>
          <w:b/>
          <w:bCs/>
          <w:caps/>
          <w:color w:val="000000"/>
        </w:rPr>
      </w:pPr>
      <w:r>
        <w:rPr>
          <w:b/>
          <w:bCs/>
          <w:caps/>
          <w:color w:val="000000"/>
        </w:rPr>
        <w:t>DĖL VAIKŲ MAITINIMO ORGANIZAVIMO TVARKOS APRAŠO PATVIRTINIMO</w:t>
      </w:r>
    </w:p>
    <w:p>
      <w:pPr>
        <w:widowControl w:val="0"/>
        <w:suppressAutoHyphens/>
        <w:jc w:val="center"/>
        <w:rPr>
          <w:b/>
          <w:bCs/>
          <w:caps/>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851"/>
        <w:rPr>
          <w:color w:val="000000"/>
        </w:rPr>
      </w:pPr>
    </w:p>
    <w:p>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pPr>
        <w:widowControl w:val="0"/>
        <w:suppressAutoHyphens/>
        <w:ind w:firstLine="851"/>
        <w:jc w:val="both"/>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
      <w:pPr>
        <w:widowControl w:val="0"/>
        <w:suppressAutoHyphens/>
        <w:ind w:left="3894" w:firstLine="310"/>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pPr>
        <w:widowControl w:val="0"/>
        <w:suppressAutoHyphens/>
        <w:ind w:firstLine="3119"/>
        <w:rPr>
          <w:color w:val="000000"/>
        </w:rPr>
      </w:pPr>
      <w:r>
        <w:rPr>
          <w:color w:val="000000"/>
        </w:rPr>
        <w:t>PATVIRTINTA</w:t>
      </w:r>
    </w:p>
    <w:p>
      <w:pPr>
        <w:widowControl w:val="0"/>
        <w:suppressAutoHyphens/>
        <w:ind w:firstLine="3119"/>
        <w:rPr>
          <w:color w:val="000000"/>
        </w:rPr>
      </w:pPr>
      <w:r>
        <w:rPr>
          <w:color w:val="000000"/>
        </w:rPr>
        <w:t xml:space="preserve">Lietuvos Respublikos sveikatos apsaugos ministro </w:t>
      </w:r>
    </w:p>
    <w:p>
      <w:pPr>
        <w:widowControl w:val="0"/>
        <w:suppressAutoHyphens/>
        <w:ind w:firstLine="3119"/>
        <w:rPr>
          <w:color w:val="000000"/>
        </w:rPr>
      </w:pPr>
      <w:r>
        <w:rPr>
          <w:color w:val="000000"/>
        </w:rPr>
        <w:t>2011 m. lapkričio 11 d. įsakymu Nr. V-964</w:t>
      </w:r>
    </w:p>
    <w:p>
      <w:pPr>
        <w:widowControl w:val="0"/>
        <w:suppressAutoHyphens/>
        <w:ind w:firstLine="3119"/>
        <w:rPr>
          <w:color w:val="000000"/>
        </w:rPr>
      </w:pPr>
      <w:r>
        <w:rPr>
          <w:color w:val="000000"/>
        </w:rPr>
        <w:t>(Lietuvos Respublikos sveikatos apsaugos ministro</w:t>
      </w:r>
    </w:p>
    <w:p>
      <w:pPr>
        <w:widowControl w:val="0"/>
        <w:suppressAutoHyphens/>
        <w:ind w:firstLine="3119"/>
        <w:rPr>
          <w:color w:val="000000"/>
        </w:rPr>
      </w:pPr>
      <w:r>
        <w:rPr>
          <w:color w:val="000000"/>
        </w:rPr>
        <w:t>2018 m. balandžio 10 d. įsakymo Nr. V-394</w:t>
      </w:r>
    </w:p>
    <w:p>
      <w:pPr>
        <w:widowControl w:val="0"/>
        <w:suppressAutoHyphens/>
        <w:ind w:firstLine="3119"/>
        <w:rPr>
          <w:color w:val="000000"/>
        </w:rPr>
      </w:pPr>
      <w:r>
        <w:rPr>
          <w:color w:val="000000"/>
        </w:rPr>
        <w:t>redakcija</w:t>
      </w:r>
    </w:p>
    <w:p>
      <w:pPr>
        <w:widowControl w:val="0"/>
        <w:suppressAutoHyphens/>
        <w:jc w:val="both"/>
        <w:rPr>
          <w:color w:val="000000"/>
          <w:szCs w:val="24"/>
        </w:rPr>
      </w:pPr>
    </w:p>
    <w:p>
      <w:pPr>
        <w:widowControl w:val="0"/>
        <w:suppressAutoHyphens/>
        <w:jc w:val="center"/>
        <w:rPr>
          <w:b/>
          <w:bCs/>
          <w:caps/>
          <w:color w:val="000000"/>
        </w:rPr>
      </w:pPr>
      <w:r>
        <w:rPr>
          <w:b/>
          <w:bCs/>
          <w:caps/>
          <w:color w:val="000000"/>
        </w:rPr>
        <w:t>VAIKŲ MAITINIMO ORGANIZAVIMO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 </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pPr>
        <w:ind w:firstLine="851"/>
        <w:jc w:val="both"/>
        <w:rPr>
          <w:color w:val="000000"/>
        </w:rPr>
      </w:pPr>
      <w:r>
        <w:rPr>
          <w:szCs w:val="24"/>
          <w:lang w:eastAsia="lt-LT"/>
        </w:rPr>
        <w:t>2</w:t>
      </w:r>
      <w:r>
        <w:rPr>
          <w:szCs w:val="24"/>
          <w:lang w:eastAsia="lt-LT"/>
        </w:rPr>
        <w:t>.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pPr>
        <w:widowControl w:val="0"/>
        <w:suppressAutoHyphens/>
        <w:ind w:firstLine="851"/>
        <w:jc w:val="both"/>
        <w:rPr>
          <w:color w:val="000000"/>
        </w:rPr>
      </w:pPr>
      <w:r>
        <w:rPr>
          <w:color w:val="000000"/>
        </w:rPr>
        <w:t>3</w:t>
      </w:r>
      <w:r>
        <w:rPr>
          <w:color w:val="000000"/>
        </w:rPr>
        <w:t xml:space="preserve">. Tvarkos aprašo tikslas – užtikrinti sveikatai palankią vaikų mitybą, maisto saugą ir geriausią kokybę, kad būtų patenkinti vaikų maisto medžiagų fiziologiniai poreikiai, ugdomi sveikos mitybos įgūdžiai. </w:t>
      </w:r>
    </w:p>
    <w:p>
      <w:pPr>
        <w:ind w:firstLine="851"/>
        <w:jc w:val="both"/>
        <w:rPr>
          <w:color w:val="000000"/>
        </w:rPr>
      </w:pPr>
      <w:r>
        <w:rPr>
          <w:rFonts w:eastAsia="Calibri"/>
          <w:szCs w:val="24"/>
        </w:rPr>
        <w:t>4</w:t>
      </w:r>
      <w:r>
        <w:rPr>
          <w:rFonts w:eastAsia="Calibri"/>
          <w:szCs w:val="24"/>
        </w:rPr>
        <w:t>.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pPr>
        <w:rPr>
          <w:szCs w:val="24"/>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SĄVOKOS IR JŲ APIBRĖŽtys</w:t>
      </w:r>
    </w:p>
    <w:p>
      <w:pPr>
        <w:widowControl w:val="0"/>
        <w:suppressAutoHyphens/>
        <w:ind w:firstLine="567"/>
        <w:jc w:val="both"/>
        <w:rPr>
          <w:color w:val="000000"/>
          <w:szCs w:val="24"/>
        </w:rPr>
      </w:pPr>
    </w:p>
    <w:p>
      <w:pPr>
        <w:widowControl w:val="0"/>
        <w:suppressAutoHyphens/>
        <w:ind w:firstLine="851"/>
        <w:jc w:val="both"/>
        <w:rPr>
          <w:color w:val="000000"/>
        </w:rPr>
      </w:pPr>
      <w:r>
        <w:rPr>
          <w:color w:val="000000"/>
        </w:rPr>
        <w:t>5</w:t>
      </w:r>
      <w:r>
        <w:rPr>
          <w:color w:val="000000"/>
        </w:rPr>
        <w:t xml:space="preserve">. Tvarkos apraše vartojamos sąvokos ir jų apibrėžtys: </w:t>
      </w:r>
    </w:p>
    <w:p>
      <w:pPr>
        <w:widowControl w:val="0"/>
        <w:suppressAutoHyphens/>
        <w:ind w:firstLine="851"/>
        <w:jc w:val="both"/>
        <w:rPr>
          <w:color w:val="000000"/>
        </w:rPr>
      </w:pPr>
      <w:r>
        <w:rPr>
          <w:color w:val="000000"/>
        </w:rPr>
        <w:t>5.1</w:t>
      </w:r>
      <w:r>
        <w:rPr>
          <w:color w:val="000000"/>
        </w:rPr>
        <w:t xml:space="preserve">. </w:t>
      </w:r>
      <w:r>
        <w:rPr>
          <w:b/>
          <w:color w:val="000000"/>
        </w:rPr>
        <w:t xml:space="preserve">Cukrūs ‒ </w:t>
      </w:r>
      <w:r>
        <w:t>monosacharidai ir disacharidai, esantys maisto produkte</w:t>
      </w:r>
      <w:r>
        <w:rPr>
          <w:color w:val="000000"/>
        </w:rPr>
        <w:t xml:space="preserve">. </w:t>
      </w:r>
    </w:p>
    <w:p>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pPr>
        <w:widowControl w:val="0"/>
        <w:suppressAutoHyphens/>
        <w:ind w:firstLine="851"/>
        <w:jc w:val="both"/>
        <w:rPr>
          <w:color w:val="000000"/>
        </w:rPr>
      </w:pPr>
      <w:r>
        <w:rPr>
          <w:szCs w:val="24"/>
        </w:rPr>
        <w:t>5.3</w:t>
      </w:r>
      <w:r>
        <w:rPr>
          <w:szCs w:val="24"/>
        </w:rPr>
        <w:t>.</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pPr>
        <w:ind w:firstLine="851"/>
        <w:jc w:val="both"/>
        <w:rPr>
          <w:szCs w:val="24"/>
        </w:rPr>
      </w:pPr>
      <w:r>
        <w:t>5.5</w:t>
      </w:r>
      <w:r>
        <w:t>.</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widowControl w:val="0"/>
        <w:suppressAutoHyphens/>
        <w:ind w:firstLine="851"/>
        <w:jc w:val="both"/>
        <w:rPr>
          <w:color w:val="000000"/>
        </w:rPr>
      </w:pPr>
      <w:r>
        <w:rPr>
          <w:bCs/>
          <w:color w:val="000000"/>
        </w:rPr>
        <w:t>5.7</w:t>
      </w:r>
      <w:r>
        <w:rPr>
          <w:bCs/>
          <w:color w:val="000000"/>
        </w:rPr>
        <w:t>.</w:t>
      </w:r>
      <w:r>
        <w:rPr>
          <w:b/>
          <w:bCs/>
          <w:color w:val="000000"/>
        </w:rPr>
        <w:t xml:space="preserve"> Šiltas maistas </w:t>
      </w:r>
      <w:r>
        <w:rPr>
          <w:color w:val="000000"/>
        </w:rPr>
        <w:t>– maistas, patiekiamas kaip karštas patiekalas, iki patiekimo vartoti laikomas ne žemesnėje kaip +68 °C temperatūroje.</w:t>
      </w:r>
    </w:p>
    <w:p>
      <w:pPr>
        <w:widowControl w:val="0"/>
        <w:suppressAutoHyphens/>
        <w:ind w:firstLine="851"/>
        <w:jc w:val="both"/>
        <w:rPr>
          <w:color w:val="000000"/>
        </w:rPr>
      </w:pPr>
      <w:r>
        <w:rPr>
          <w:rFonts w:eastAsia="Calibri"/>
          <w:szCs w:val="24"/>
        </w:rPr>
        <w:t>5.8</w:t>
      </w:r>
      <w:r>
        <w:rPr>
          <w:rFonts w:eastAsia="Calibri"/>
          <w:szCs w:val="24"/>
        </w:rPr>
        <w:t>.</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pPr>
        <w:widowControl w:val="0"/>
        <w:suppressAutoHyphens/>
        <w:ind w:firstLine="851"/>
        <w:jc w:val="both"/>
        <w:rPr>
          <w:color w:val="000000"/>
        </w:rPr>
      </w:pPr>
      <w:r>
        <w:rPr>
          <w:bCs/>
          <w:color w:val="000000"/>
        </w:rPr>
        <w:t>5.10</w:t>
      </w:r>
      <w:r>
        <w:rPr>
          <w:bCs/>
          <w:color w:val="000000"/>
        </w:rPr>
        <w:t>.</w:t>
      </w:r>
      <w:r>
        <w:rPr>
          <w:b/>
          <w:bCs/>
          <w:color w:val="000000"/>
        </w:rPr>
        <w:t xml:space="preserve"> Valgiaraštis </w:t>
      </w:r>
      <w:r>
        <w:rPr>
          <w:color w:val="000000"/>
        </w:rPr>
        <w:t>– patiekiamų vartoti dienos maisto produktų ir patiekalų sąrašas.</w:t>
      </w:r>
    </w:p>
    <w:p>
      <w:pPr>
        <w:widowControl w:val="0"/>
        <w:suppressAutoHyphens/>
        <w:ind w:firstLine="851"/>
        <w:jc w:val="both"/>
        <w:rPr>
          <w:color w:val="000000"/>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 xml:space="preserve">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pPr>
        <w:ind w:firstLine="851"/>
        <w:rPr>
          <w:szCs w:val="24"/>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pPr>
        <w:widowControl w:val="0"/>
        <w:suppressAutoHyphens/>
        <w:ind w:firstLine="851"/>
        <w:jc w:val="both"/>
        <w:rPr>
          <w:color w:val="000000"/>
        </w:rPr>
      </w:pPr>
      <w:r>
        <w:rPr>
          <w:color w:val="000000"/>
        </w:rPr>
        <w:t>8</w:t>
      </w:r>
      <w:r>
        <w:rPr>
          <w:color w:val="000000"/>
        </w:rPr>
        <w:t xml:space="preserve">. </w:t>
      </w:r>
      <w:r>
        <w:rPr>
          <w:color w:val="000000"/>
          <w:szCs w:val="24"/>
        </w:rPr>
        <w:t xml:space="preserve">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widowControl w:val="0"/>
        <w:suppressAutoHyphens/>
        <w:ind w:firstLine="851"/>
        <w:jc w:val="both"/>
        <w:rPr>
          <w:color w:val="000000"/>
        </w:rPr>
      </w:pPr>
      <w:r>
        <w:rPr>
          <w:color w:val="000000"/>
        </w:rPr>
        <w:t>9</w:t>
      </w:r>
      <w:r>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 xml:space="preserve">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suppressAutoHyphens/>
        <w:ind w:firstLine="851"/>
        <w:jc w:val="both"/>
        <w:textAlignment w:val="center"/>
        <w:rPr>
          <w:color w:val="000000"/>
        </w:rPr>
      </w:pPr>
      <w:r>
        <w:rPr>
          <w:color w:val="000000"/>
          <w:szCs w:val="24"/>
        </w:rPr>
        <w:t>10</w:t>
      </w:r>
      <w:r>
        <w:rPr>
          <w:color w:val="000000"/>
          <w:szCs w:val="24"/>
        </w:rPr>
        <w:t xml:space="preserve">.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pPr>
        <w:ind w:firstLine="851"/>
        <w:jc w:val="both"/>
        <w:rPr>
          <w:szCs w:val="24"/>
        </w:rPr>
      </w:pPr>
      <w:r>
        <w:rPr>
          <w:szCs w:val="24"/>
        </w:rPr>
        <w:t>11.1</w:t>
      </w:r>
      <w:r>
        <w:rPr>
          <w:szCs w:val="24"/>
        </w:rPr>
        <w:t xml:space="preserve">.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pPr>
        <w:ind w:firstLine="851"/>
        <w:jc w:val="both"/>
        <w:rPr>
          <w:szCs w:val="24"/>
        </w:rPr>
      </w:pPr>
      <w:r>
        <w:rPr>
          <w:szCs w:val="24"/>
        </w:rPr>
        <w:t>11.3</w:t>
      </w:r>
      <w:r>
        <w:rPr>
          <w:szCs w:val="24"/>
        </w:rPr>
        <w:t>. tiekiamiems trumposiomis maisto tiekimo grandinėmis iš ūkių (ne daugiau kaip vienas tarpininkas tarp ūkio ir maitinimo organizatoriaus);</w:t>
      </w:r>
    </w:p>
    <w:p>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widowControl w:val="0"/>
        <w:suppressAutoHyphens/>
        <w:ind w:firstLine="851"/>
        <w:jc w:val="both"/>
        <w:rPr>
          <w:color w:val="000000"/>
        </w:rPr>
      </w:pPr>
      <w:r>
        <w:rPr>
          <w:color w:val="000000"/>
        </w:rPr>
        <w:t>12</w:t>
      </w:r>
      <w:r>
        <w:rPr>
          <w:color w:val="000000"/>
        </w:rPr>
        <w:t xml:space="preserve">.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pPr>
        <w:suppressAutoHyphens/>
        <w:ind w:firstLine="851"/>
        <w:jc w:val="both"/>
        <w:textAlignment w:val="center"/>
      </w:pPr>
      <w:r>
        <w:rPr>
          <w:color w:val="000000"/>
          <w:szCs w:val="24"/>
        </w:rPr>
        <w:t>14</w:t>
      </w:r>
      <w:r>
        <w:rPr>
          <w:color w:val="000000"/>
          <w:szCs w:val="24"/>
        </w:rPr>
        <w:t>.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pPr>
        <w:suppressAutoHyphens/>
        <w:ind w:firstLine="851"/>
        <w:jc w:val="both"/>
        <w:textAlignment w:val="center"/>
        <w:rPr>
          <w:b/>
          <w:color w:val="000000"/>
        </w:rPr>
      </w:pPr>
      <w:r>
        <w:rPr>
          <w:color w:val="000000"/>
        </w:rPr>
        <w:t>15</w:t>
      </w:r>
      <w:r>
        <w:rPr>
          <w:color w:val="000000"/>
        </w:rPr>
        <w:t>. Kiekvieną dieną vaikai turi gauti šilto maisto.</w:t>
      </w:r>
    </w:p>
    <w:p>
      <w:pPr>
        <w:widowControl w:val="0"/>
        <w:suppressAutoHyphens/>
        <w:ind w:firstLine="851"/>
        <w:jc w:val="both"/>
        <w:rPr>
          <w:color w:val="000000"/>
        </w:rPr>
      </w:pPr>
      <w:r>
        <w:rPr>
          <w:color w:val="000000"/>
        </w:rPr>
        <w:t>16</w:t>
      </w:r>
      <w:r>
        <w:rPr>
          <w:color w:val="000000"/>
        </w:rPr>
        <w:t>. Maisto patiekimas turi atitikti Tvarkos aprašo 6 priedo reikalavimus.</w:t>
      </w:r>
    </w:p>
    <w:p>
      <w:pPr>
        <w:widowControl w:val="0"/>
        <w:suppressAutoHyphens/>
        <w:ind w:firstLine="851"/>
        <w:jc w:val="both"/>
        <w:rPr>
          <w:color w:val="000000"/>
        </w:rPr>
      </w:pPr>
      <w:r>
        <w:rPr>
          <w:color w:val="000000"/>
          <w:szCs w:val="24"/>
        </w:rPr>
        <w:t>17</w:t>
      </w:r>
      <w:r>
        <w:rPr>
          <w:color w:val="000000"/>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w:t>
      </w:r>
      <w:r>
        <w:rPr>
          <w:color w:val="000000"/>
        </w:rPr>
        <w:t>maisto davinius, skirtus maitinti ne mokykloje, poilsio stovykloje ar vaikų socialinės globos namuose (ne ilgesnėms kaip 1 dienos išvykoms į varžybas, mokomųjų treniruočių stovyklas ar kitus renginius).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ind w:firstLine="851"/>
        <w:jc w:val="both"/>
        <w:rPr>
          <w:color w:val="000000"/>
          <w:szCs w:val="24"/>
        </w:rPr>
      </w:pPr>
      <w:r>
        <w:rPr>
          <w:rFonts w:eastAsia="Calibri"/>
          <w:color w:val="000000"/>
          <w:szCs w:val="24"/>
        </w:rPr>
        <w:t>18</w:t>
      </w:r>
      <w:r>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pPr>
        <w:suppressAutoHyphens/>
        <w:ind w:firstLine="851"/>
        <w:jc w:val="both"/>
        <w:textAlignment w:val="center"/>
      </w:pPr>
      <w:r>
        <w:rPr>
          <w:szCs w:val="24"/>
        </w:rPr>
        <w:t>19</w:t>
      </w:r>
      <w:r>
        <w:rPr>
          <w:szCs w:val="24"/>
        </w:rPr>
        <w:t xml:space="preserve">.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pPr>
      <w:r>
        <w:t>20</w:t>
      </w:r>
      <w:r>
        <w:t xml:space="preserve">.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rPr>
          <w:color w:val="000000"/>
        </w:rPr>
      </w:pPr>
      <w:r>
        <w:rPr>
          <w:color w:val="000000"/>
          <w:szCs w:val="24"/>
        </w:rPr>
        <w:t>21</w:t>
      </w:r>
      <w:r>
        <w:rPr>
          <w:color w:val="000000"/>
          <w:szCs w:val="24"/>
        </w:rPr>
        <w:t xml:space="preserve">.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pPr>
        <w:ind w:firstLine="851"/>
        <w:jc w:val="both"/>
        <w:rPr>
          <w:rFonts w:eastAsia="Calibri"/>
          <w:szCs w:val="24"/>
        </w:rPr>
      </w:pPr>
      <w:r>
        <w:rPr>
          <w:szCs w:val="24"/>
          <w:lang w:eastAsia="lt-LT"/>
        </w:rPr>
        <w:t>22</w:t>
      </w:r>
      <w:r>
        <w:rPr>
          <w:szCs w:val="24"/>
          <w:lang w:eastAsia="lt-LT"/>
        </w:rPr>
        <w:t>. Patiekalų gaminimo ir patiekimo reikalavimai:</w:t>
      </w:r>
    </w:p>
    <w:p>
      <w:pPr>
        <w:ind w:firstLine="851"/>
        <w:jc w:val="both"/>
        <w:rPr>
          <w:szCs w:val="24"/>
          <w:lang w:eastAsia="lt-LT"/>
        </w:rPr>
      </w:pPr>
      <w:r>
        <w:rPr>
          <w:rFonts w:eastAsia="Calibri"/>
          <w:szCs w:val="24"/>
        </w:rPr>
        <w:t>22.1</w:t>
      </w:r>
      <w:r>
        <w:rPr>
          <w:rFonts w:eastAsia="Calibri"/>
          <w:szCs w:val="24"/>
        </w:rPr>
        <w:t xml:space="preserve">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pPr>
        <w:ind w:firstLine="851"/>
        <w:jc w:val="both"/>
        <w:rPr>
          <w:sz w:val="18"/>
          <w:szCs w:val="18"/>
        </w:rPr>
      </w:pPr>
      <w:r>
        <w:rPr>
          <w:spacing w:val="-2"/>
          <w:szCs w:val="24"/>
        </w:rPr>
        <w:t>22.2</w:t>
      </w:r>
      <w:r>
        <w:rPr>
          <w:spacing w:val="-2"/>
          <w:szCs w:val="24"/>
        </w:rPr>
        <w:t xml:space="preserve">. patiekiamas maistas turi būti kokybiškas ir įvairus; </w:t>
      </w:r>
    </w:p>
    <w:p>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pPr>
        <w:ind w:firstLine="851"/>
        <w:jc w:val="both"/>
        <w:rPr>
          <w:szCs w:val="24"/>
          <w:lang w:eastAsia="lt-LT"/>
        </w:rPr>
      </w:pPr>
      <w:r>
        <w:rPr>
          <w:szCs w:val="24"/>
          <w:lang w:eastAsia="lt-LT"/>
        </w:rPr>
        <w:t>22.4</w:t>
      </w:r>
      <w:r>
        <w:rPr>
          <w:szCs w:val="24"/>
          <w:lang w:eastAsia="lt-LT"/>
        </w:rPr>
        <w:t>. gaminant maistą neturi būti naudojami prieskonių mišiniai, kurių sudėtyje yra maisto priedų;</w:t>
      </w:r>
    </w:p>
    <w:p>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pPr>
        <w:ind w:firstLine="851"/>
        <w:jc w:val="both"/>
        <w:rPr>
          <w:szCs w:val="24"/>
          <w:lang w:eastAsia="lt-LT"/>
        </w:rPr>
      </w:pPr>
      <w:r>
        <w:rPr>
          <w:szCs w:val="24"/>
          <w:lang w:eastAsia="lt-LT"/>
        </w:rPr>
        <w:t>22.6</w:t>
      </w:r>
      <w:r>
        <w:rPr>
          <w:szCs w:val="24"/>
          <w:lang w:eastAsia="lt-LT"/>
        </w:rPr>
        <w:t>.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pPr>
        <w:ind w:firstLine="851"/>
        <w:jc w:val="both"/>
        <w:rPr>
          <w:szCs w:val="24"/>
          <w:lang w:eastAsia="lt-LT"/>
        </w:rPr>
      </w:pPr>
      <w:r>
        <w:rPr>
          <w:szCs w:val="24"/>
          <w:lang w:eastAsia="lt-LT"/>
        </w:rPr>
        <w:t>22.9</w:t>
      </w:r>
      <w:r>
        <w:rPr>
          <w:szCs w:val="24"/>
          <w:lang w:eastAsia="lt-LT"/>
        </w:rPr>
        <w:t>. jei patiekalui gaminti naudojama malta mėsa ar žuvis ir virtuvėje yra sąlygos ją sumalti, ji turi būti malama patiekalo gaminimo dieną;</w:t>
      </w:r>
    </w:p>
    <w:p>
      <w:pPr>
        <w:ind w:firstLine="851"/>
        <w:jc w:val="both"/>
        <w:rPr>
          <w:rFonts w:eastAsia="Calibri"/>
          <w:szCs w:val="24"/>
        </w:rPr>
      </w:pPr>
      <w:r>
        <w:rPr>
          <w:rFonts w:eastAsia="Calibri"/>
          <w:bCs/>
          <w:iCs/>
          <w:szCs w:val="24"/>
        </w:rPr>
        <w:t>22.10</w:t>
      </w:r>
      <w:r>
        <w:rPr>
          <w:rFonts w:eastAsia="Calibri"/>
          <w:bCs/>
          <w:iCs/>
          <w:szCs w:val="24"/>
        </w:rPr>
        <w:t xml:space="preserve">.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pPr>
        <w:ind w:firstLine="851"/>
        <w:jc w:val="both"/>
        <w:rPr>
          <w:rFonts w:eastAsia="Calibri"/>
          <w:szCs w:val="24"/>
        </w:rPr>
      </w:pPr>
      <w:r>
        <w:rPr>
          <w:rFonts w:eastAsia="Calibri"/>
          <w:szCs w:val="24"/>
        </w:rPr>
        <w:t>22.11</w:t>
      </w:r>
      <w:r>
        <w:rPr>
          <w:rFonts w:eastAsia="Calibri"/>
          <w:szCs w:val="24"/>
        </w:rPr>
        <w:t xml:space="preserve">.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pPr>
        <w:ind w:firstLine="851"/>
        <w:jc w:val="both"/>
        <w:rPr>
          <w:rFonts w:eastAsia="Calibri"/>
          <w:szCs w:val="24"/>
        </w:rPr>
      </w:pPr>
      <w:r>
        <w:rPr>
          <w:rFonts w:eastAsia="Calibri"/>
          <w:szCs w:val="24"/>
        </w:rPr>
        <w:t>22.12</w:t>
      </w:r>
      <w:r>
        <w:rPr>
          <w:rFonts w:eastAsia="Calibri"/>
          <w:szCs w:val="24"/>
        </w:rPr>
        <w:t>. valgymo metu ant stalų neturi būti padėta druskos, cukraus, pipirų, garstyčių;</w:t>
      </w:r>
    </w:p>
    <w:p>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raugintų kopūstų sriubą į šviežių kopūstų sriubą, burokėlių sriubą į šaltibarščius ir pan.);</w:t>
      </w:r>
    </w:p>
    <w:p>
      <w:pPr>
        <w:ind w:firstLine="851"/>
        <w:jc w:val="both"/>
        <w:rPr>
          <w:color w:val="000000"/>
        </w:rPr>
      </w:pPr>
      <w:r>
        <w:rPr>
          <w:color w:val="000000"/>
        </w:rPr>
        <w:t>22.15</w:t>
      </w:r>
      <w:r>
        <w:rPr>
          <w:color w:val="000000"/>
        </w:rPr>
        <w:t xml:space="preserve">. </w:t>
      </w:r>
      <w:r>
        <w:t>maistas turi būti patiekiamas estetiškai.</w:t>
      </w:r>
    </w:p>
    <w:p>
      <w:pPr>
        <w:ind w:firstLine="851"/>
        <w:jc w:val="both"/>
        <w:rPr>
          <w:color w:val="000000"/>
        </w:rPr>
      </w:pPr>
      <w:r>
        <w:rPr>
          <w:szCs w:val="24"/>
        </w:rPr>
        <w:t>23</w:t>
      </w:r>
      <w:r>
        <w:rPr>
          <w:szCs w:val="24"/>
        </w:rPr>
        <w:t xml:space="preserve">.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pPr>
        <w:widowControl w:val="0"/>
        <w:suppressAutoHyphens/>
        <w:ind w:firstLine="851"/>
        <w:jc w:val="both"/>
        <w:rPr>
          <w:color w:val="000000"/>
        </w:rPr>
      </w:pPr>
      <w:r>
        <w:rPr>
          <w:color w:val="000000"/>
        </w:rPr>
        <w:t>24</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ind w:firstLine="851"/>
        <w:jc w:val="both"/>
        <w:rPr>
          <w:color w:val="000000"/>
        </w:rPr>
      </w:pPr>
      <w:r>
        <w:rPr>
          <w:rFonts w:eastAsia="Calibri"/>
          <w:szCs w:val="24"/>
        </w:rPr>
        <w:t>25.1</w:t>
      </w:r>
      <w:r>
        <w:rPr>
          <w:rFonts w:eastAsia="Calibri"/>
          <w:szCs w:val="24"/>
        </w:rPr>
        <w:t>.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ind w:firstLine="851"/>
        <w:jc w:val="both"/>
        <w:rPr>
          <w:rFonts w:eastAsia="Calibri"/>
          <w:szCs w:val="24"/>
        </w:rPr>
      </w:pPr>
      <w:r>
        <w:rPr>
          <w:szCs w:val="24"/>
          <w:lang w:eastAsia="lt-LT"/>
        </w:rPr>
        <w:t>25.4</w:t>
      </w:r>
      <w:r>
        <w:rPr>
          <w:szCs w:val="24"/>
          <w:lang w:eastAsia="lt-LT"/>
        </w:rPr>
        <w:t xml:space="preserve">.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pPr>
        <w:suppressAutoHyphens/>
        <w:ind w:firstLine="851"/>
        <w:jc w:val="both"/>
        <w:textAlignment w:val="center"/>
        <w:rPr>
          <w:color w:val="000000"/>
        </w:rPr>
      </w:pPr>
      <w:r>
        <w:rPr>
          <w:szCs w:val="24"/>
        </w:rPr>
        <w:t>26</w:t>
      </w:r>
      <w:r>
        <w:rPr>
          <w:szCs w:val="24"/>
        </w:rPr>
        <w:t>.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pPr>
        <w:widowControl w:val="0"/>
        <w:suppressAutoHyphens/>
        <w:ind w:firstLine="851"/>
        <w:jc w:val="both"/>
        <w:rPr>
          <w:color w:val="000000"/>
        </w:rPr>
      </w:pPr>
      <w:r>
        <w:rPr>
          <w:color w:val="000000"/>
        </w:rPr>
        <w:t>28</w:t>
      </w:r>
      <w:r>
        <w:rPr>
          <w:color w:val="000000"/>
        </w:rPr>
        <w:t>. Jei mokykloje maitinami suaugę asmenys, jiems mokykloje neturi būti pateikiami Tvarkos aprašo reikalavimų neatitinkantys maisto produktai ar patiekalai vaikų maitinimo metu.</w:t>
      </w:r>
    </w:p>
    <w:p>
      <w:pPr>
        <w:widowControl w:val="0"/>
        <w:suppressAutoHyphens/>
        <w:ind w:firstLine="851"/>
        <w:jc w:val="both"/>
        <w:rPr>
          <w:color w:val="000000"/>
        </w:rPr>
      </w:pPr>
      <w:r>
        <w:rPr>
          <w:color w:val="000000"/>
        </w:rPr>
        <w:t>29</w:t>
      </w:r>
      <w:r>
        <w:rPr>
          <w:color w:val="000000"/>
        </w:rPr>
        <w:t>. Mokyklose ir poilsio stovyklose negali būti reklamuojami maisto produktai, išvardyti atitinkamai Tvarkos aprašo 19 ar 20 punktuose.</w:t>
      </w:r>
    </w:p>
    <w:p>
      <w:pPr>
        <w:widowControl w:val="0"/>
        <w:suppressAutoHyphens/>
        <w:ind w:firstLine="907"/>
        <w:jc w:val="both"/>
        <w:rPr>
          <w:color w:val="000000"/>
          <w:sz w:val="22"/>
          <w:szCs w:val="22"/>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widowControl w:val="0"/>
        <w:suppressAutoHyphens/>
        <w:ind w:firstLine="907"/>
        <w:jc w:val="both"/>
        <w:rPr>
          <w:color w:val="000000"/>
          <w:sz w:val="22"/>
          <w:szCs w:val="22"/>
        </w:rPr>
      </w:pPr>
    </w:p>
    <w:p>
      <w:pPr>
        <w:widowControl w:val="0"/>
        <w:suppressAutoHyphens/>
        <w:ind w:firstLine="851"/>
        <w:jc w:val="both"/>
        <w:rPr>
          <w:color w:val="000000"/>
        </w:rPr>
      </w:pPr>
      <w:r>
        <w:rPr>
          <w:color w:val="000000"/>
        </w:rPr>
        <w:t>30</w:t>
      </w:r>
      <w:r>
        <w:rPr>
          <w:color w:val="000000"/>
        </w:rPr>
        <w:t>. Vaikų iki 1 metų amžiaus maitinimo organizavimas:</w:t>
      </w:r>
    </w:p>
    <w:p>
      <w:pPr>
        <w:widowControl w:val="0"/>
        <w:suppressAutoHyphens/>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pPr>
        <w:widowControl w:val="0"/>
        <w:suppressAutoHyphens/>
        <w:ind w:firstLine="794"/>
        <w:jc w:val="both"/>
        <w:rPr>
          <w:color w:val="000000"/>
        </w:rPr>
      </w:pPr>
      <w:r>
        <w:rPr>
          <w:color w:val="000000"/>
        </w:rPr>
        <w:t>30.2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xml:space="preserve">. grupės  virtuvėlėje  turi  būti  šaldymo  įrenginys,  užtikrinantis  Tvarkos  aprašo 30.</w:t>
      </w:r>
      <w:r>
        <w:rPr>
          <w:color w:val="000000"/>
        </w:rPr>
        <w:t>3</w:t>
      </w:r>
      <w:r>
        <w:rPr>
          <w:color w:val="000000"/>
          <w:spacing w:val="-4"/>
        </w:rPr>
        <w:t>.1 papunktyje nustatytas motinos pieno laikymo sąlygas;</w:t>
      </w:r>
    </w:p>
    <w:p>
      <w:pPr>
        <w:ind w:firstLine="851"/>
        <w:jc w:val="both"/>
        <w:rPr>
          <w:color w:val="000000"/>
        </w:rPr>
      </w:pPr>
      <w:r>
        <w:rPr>
          <w:rFonts w:eastAsia="Calibri"/>
          <w:szCs w:val="24"/>
          <w:lang w:eastAsia="lt-LT"/>
        </w:rPr>
        <w:t>30.</w:t>
      </w:r>
      <w:r>
        <w:rPr>
          <w:color w:val="000000"/>
        </w:rPr>
        <w:t>3</w:t>
      </w:r>
      <w:r>
        <w:rPr>
          <w:rFonts w:eastAsia="Calibri"/>
          <w:szCs w:val="24"/>
          <w:lang w:eastAsia="lt-LT"/>
        </w:rPr>
        <w:t>.3</w:t>
      </w:r>
      <w:r>
        <w:rPr>
          <w:rFonts w:eastAsia="Calibri"/>
          <w:szCs w:val="24"/>
          <w:lang w:eastAsia="lt-LT"/>
        </w:rPr>
        <w:t xml:space="preserve">.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.4</w:t>
      </w:r>
      <w:r>
        <w:rPr>
          <w:color w:val="000000"/>
          <w:spacing w:val="-4"/>
        </w:rPr>
        <w:t xml:space="preserve">. virtuvėlėje esantis pieno šildytuvų kiekis turi užtikrinti motinos pienu maitinamų vaikų maitinimą pagal valgiaraščius; </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indai su atneštu motinos pienu turi būti paženklinti, užrašant pieno nutraukimo datą, laiką ir vaiko vardą, pavardę;</w:t>
      </w:r>
    </w:p>
    <w:p>
      <w:pPr>
        <w:widowControl w:val="0"/>
        <w:suppressAutoHyphens/>
        <w:ind w:firstLine="851"/>
        <w:jc w:val="both"/>
        <w:rPr>
          <w:color w:val="000000"/>
        </w:rPr>
      </w:pPr>
      <w:r>
        <w:rPr>
          <w:color w:val="000000"/>
        </w:rPr>
        <w:t>30.4</w:t>
      </w:r>
      <w:r>
        <w:rPr>
          <w:color w:val="000000"/>
        </w:rPr>
        <w:t>. kūdikių mišiniai, kiti kūdikių specialios paskirties maisto produktai laikomi gamintojo nurodytomis sąlygomis ir ruošiami pagal gamintojo instrukciją grupės virtuvėlėje prieš pat maitinimą;</w:t>
      </w:r>
    </w:p>
    <w:p>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pPr>
        <w:widowControl w:val="0"/>
        <w:suppressAutoHyphens/>
        <w:ind w:firstLine="851"/>
        <w:jc w:val="both"/>
        <w:rPr>
          <w:color w:val="000000"/>
        </w:rPr>
      </w:pPr>
      <w:r>
        <w:rPr>
          <w:color w:val="000000"/>
        </w:rPr>
        <w:t>31</w:t>
      </w:r>
      <w:r>
        <w:rPr>
          <w:color w:val="000000"/>
        </w:rPr>
        <w:t>. Vaikų iki 1 m. amžiaus maitinimo reikalavimai:</w:t>
      </w:r>
    </w:p>
    <w:p>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pPr>
        <w:ind w:firstLine="851"/>
        <w:jc w:val="both"/>
      </w:pPr>
      <w:r>
        <w:t>31.2</w:t>
      </w:r>
      <w:r>
        <w:t xml:space="preserve">.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ind w:firstLine="851"/>
        <w:jc w:val="both"/>
      </w:pPr>
      <w:r>
        <w:t>31.4</w:t>
      </w:r>
      <w:r>
        <w:t xml:space="preserve">.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pPr>
        <w:ind w:firstLine="851"/>
        <w:jc w:val="both"/>
      </w:pPr>
      <w:r>
        <w:t>31.5</w:t>
      </w:r>
      <w:r>
        <w:t>. 9‒10 mėn. amžiaus vaikams turi būti tiekiami Tvarkos aprašo 31.4 papunktyje nurodyti patiekalai ir maisto produktai, taip pat tiekiamas smulkintas kietai virtas kiaušinis, žuvis;</w:t>
      </w:r>
    </w:p>
    <w:p>
      <w:pPr>
        <w:ind w:firstLine="851"/>
        <w:jc w:val="both"/>
      </w:pPr>
      <w:r>
        <w:t>31.6</w:t>
      </w:r>
      <w:r>
        <w:t>. 10‒11 mėn. amžiaus vaikų valgiaraščiai, be išvardytų Tvarkos aprašo 31.5 papunktyje maisto produktų ir patiekalų, turi būti papildomi smulkintais melionais, bananais, pomidorais, kefyru ir natūraliu jogurtu;</w:t>
      </w:r>
    </w:p>
    <w:p>
      <w:pPr>
        <w:ind w:firstLine="851"/>
        <w:jc w:val="both"/>
      </w:pPr>
      <w:r>
        <w:t>31.7</w:t>
      </w:r>
      <w:r>
        <w:t>. 11‒12 mėn. amžiaus vaikų valgiaraščiai, be išvardytų Tvarkos aprašo 31.6 papunktyje maisto produktų ir patiekalų, turi būti papildomi smulkintais kiviais ir varškės patiekalais, pagamintais tausojančiu būdu;</w:t>
      </w:r>
    </w:p>
    <w:p>
      <w:pPr>
        <w:ind w:firstLine="851"/>
        <w:jc w:val="both"/>
      </w:pPr>
      <w:r>
        <w:t>31.8</w:t>
      </w:r>
      <w:r>
        <w:t>. vaikams iki 1 m. amžiaus patiekalai nesūdomi ir nesaldinami.</w:t>
      </w:r>
    </w:p>
    <w:p>
      <w:pPr>
        <w:ind w:firstLine="851"/>
        <w:jc w:val="both"/>
        <w:rPr>
          <w:rFonts w:eastAsia="Calibri"/>
          <w:szCs w:val="24"/>
        </w:rPr>
      </w:pPr>
      <w:r>
        <w:rPr>
          <w:rFonts w:eastAsia="Calibri"/>
          <w:szCs w:val="24"/>
        </w:rPr>
        <w:t>32</w:t>
      </w:r>
      <w:r>
        <w:rPr>
          <w:rFonts w:eastAsia="Calibri"/>
          <w:szCs w:val="24"/>
        </w:rPr>
        <w:t>. 1–7 metų amžiaus vaikų maitinimo organizavimas:</w:t>
      </w:r>
    </w:p>
    <w:p>
      <w:pPr>
        <w:ind w:firstLine="851"/>
        <w:jc w:val="both"/>
        <w:rPr>
          <w:sz w:val="18"/>
          <w:szCs w:val="18"/>
        </w:rPr>
      </w:pPr>
      <w:r>
        <w:rPr>
          <w:szCs w:val="24"/>
        </w:rPr>
        <w:t>32.1</w:t>
      </w:r>
      <w:r>
        <w:rPr>
          <w:szCs w:val="24"/>
        </w:rPr>
        <w:t>. vaikai turi būti maitinami ne rečiau kaip kas 3,5 val. pagal valgiaraščius;</w:t>
      </w:r>
    </w:p>
    <w:p>
      <w:pPr>
        <w:suppressAutoHyphens/>
        <w:ind w:firstLine="851"/>
        <w:jc w:val="both"/>
        <w:textAlignment w:val="center"/>
      </w:pPr>
      <w:r>
        <w:rPr>
          <w:szCs w:val="24"/>
        </w:rPr>
        <w:t>32.2</w:t>
      </w:r>
      <w:r>
        <w:rPr>
          <w:szCs w:val="24"/>
        </w:rPr>
        <w:t>.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pPr>
        <w:suppressAutoHyphens/>
        <w:ind w:firstLine="851"/>
        <w:jc w:val="both"/>
        <w:textAlignment w:val="center"/>
        <w:rPr>
          <w:rFonts w:eastAsia="Calibri"/>
          <w:szCs w:val="24"/>
        </w:rPr>
      </w:pPr>
      <w:r>
        <w:rPr>
          <w:rFonts w:eastAsia="Calibri"/>
          <w:szCs w:val="24"/>
        </w:rPr>
        <w:t>32.3</w:t>
      </w:r>
      <w:r>
        <w:rPr>
          <w:rFonts w:eastAsia="Calibri"/>
          <w:szCs w:val="24"/>
        </w:rPr>
        <w:t>. 80 proc. v</w:t>
      </w:r>
      <w:r>
        <w:t>aikams patiekiamų patiekalų turi būti tausojantys patiekalai;</w:t>
      </w:r>
    </w:p>
    <w:p>
      <w:pPr>
        <w:ind w:firstLine="851"/>
        <w:jc w:val="both"/>
        <w:rPr>
          <w:rFonts w:eastAsia="Calibri"/>
          <w:szCs w:val="24"/>
        </w:rPr>
      </w:pPr>
      <w:r>
        <w:rPr>
          <w:rFonts w:eastAsia="Calibri"/>
          <w:szCs w:val="24"/>
        </w:rPr>
        <w:t>32.4</w:t>
      </w:r>
      <w:r>
        <w:rPr>
          <w:rFonts w:eastAsia="Calibri"/>
          <w:szCs w:val="24"/>
        </w:rPr>
        <w:t xml:space="preserve">.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 xml:space="preserve">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ind w:firstLine="851"/>
        <w:jc w:val="both"/>
        <w:rPr>
          <w:rFonts w:eastAsia="Calibri"/>
          <w:szCs w:val="24"/>
        </w:rPr>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ind w:firstLine="913"/>
        <w:rPr>
          <w:szCs w:val="24"/>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pPr>
        <w:widowControl w:val="0"/>
        <w:suppressAutoHyphens/>
        <w:ind w:firstLine="851"/>
        <w:jc w:val="both"/>
        <w:rPr>
          <w:color w:val="000000"/>
          <w:szCs w:val="24"/>
        </w:rPr>
      </w:pPr>
    </w:p>
    <w:p>
      <w:pPr>
        <w:widowControl w:val="0"/>
        <w:suppressAutoHyphens/>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pPr>
        <w:widowControl w:val="0"/>
        <w:suppressAutoHyphens/>
        <w:ind w:firstLine="851"/>
        <w:jc w:val="both"/>
        <w:rPr>
          <w:color w:val="000000"/>
        </w:rPr>
      </w:pPr>
      <w:r>
        <w:rPr>
          <w:color w:val="000000"/>
        </w:rPr>
        <w:t>35</w:t>
      </w:r>
      <w:r>
        <w:rPr>
          <w:color w:val="000000"/>
        </w:rPr>
        <w:t xml:space="preserve">.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pPr>
        <w:widowControl w:val="0"/>
        <w:suppressAutoHyphens/>
        <w:ind w:firstLine="851"/>
        <w:jc w:val="both"/>
        <w:rPr>
          <w:color w:val="000000"/>
        </w:rPr>
      </w:pPr>
      <w:r>
        <w:rPr>
          <w:color w:val="000000"/>
        </w:rPr>
        <w:t>37</w:t>
      </w:r>
      <w:r>
        <w:rPr>
          <w:color w:val="000000"/>
        </w:rPr>
        <w:t>. Mokykloje, be pietų, taip pat gali būti:</w:t>
      </w:r>
    </w:p>
    <w:p>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widowControl w:val="0"/>
        <w:suppressAutoHyphens/>
        <w:ind w:firstLine="851"/>
        <w:jc w:val="both"/>
        <w:rPr>
          <w:color w:val="000000"/>
        </w:rPr>
      </w:pPr>
      <w:r>
        <w:rPr>
          <w:color w:val="000000"/>
        </w:rPr>
        <w:t>37.2</w:t>
      </w:r>
      <w:r>
        <w:rPr>
          <w:color w:val="000000"/>
        </w:rPr>
        <w:t xml:space="preserve">. šalti užkandžiai (raštišku vaikų atstovų pagal įstatymą pritarimu). </w:t>
      </w:r>
    </w:p>
    <w:p>
      <w:pPr>
        <w:ind w:firstLine="851"/>
        <w:jc w:val="both"/>
      </w:pPr>
      <w:r>
        <w:rPr>
          <w:rFonts w:eastAsia="Calibri"/>
          <w:szCs w:val="24"/>
        </w:rPr>
        <w:t>38</w:t>
      </w:r>
      <w:r>
        <w:rPr>
          <w:rFonts w:eastAsia="Calibri"/>
          <w:szCs w:val="24"/>
        </w:rPr>
        <w:t>. Vaikams, pateikusiems gydytojo raštiškus nurodymus (Forma Nr. 027-1/a), turi būti organizuojamas pritaikytas maitinimas.</w:t>
      </w:r>
      <w:r>
        <w:t xml:space="preserve"> </w:t>
      </w:r>
    </w:p>
    <w:p>
      <w:pPr>
        <w:ind w:firstLine="851"/>
        <w:jc w:val="both"/>
      </w:pPr>
    </w:p>
    <w:p>
      <w:pPr>
        <w:widowControl w:val="0"/>
        <w:suppressAutoHyphens/>
        <w:jc w:val="center"/>
        <w:rPr>
          <w:b/>
          <w:bCs/>
          <w:caps/>
          <w:color w:val="000000"/>
        </w:rPr>
      </w:pPr>
      <w:r>
        <w:rPr>
          <w:b/>
          <w:bCs/>
          <w:caps/>
          <w:color w:val="000000"/>
        </w:rPr>
        <w:t>VI</w:t>
      </w:r>
      <w:r>
        <w:rPr>
          <w:b/>
          <w:bCs/>
          <w:caps/>
          <w:color w:val="000000"/>
        </w:rPr>
        <w:t xml:space="preserve"> SKYRIUS</w:t>
      </w:r>
    </w:p>
    <w:p>
      <w:pPr>
        <w:jc w:val="center"/>
      </w:pPr>
      <w:r>
        <w:rPr>
          <w:b/>
          <w:bCs/>
          <w:caps/>
          <w:color w:val="000000"/>
        </w:rPr>
        <w:t>VAIKŲ MAITINIMO ORGANIZAVIMAS poilsio stovyklose</w:t>
      </w:r>
    </w:p>
    <w:p>
      <w:pPr>
        <w:ind w:firstLine="851"/>
        <w:rPr>
          <w:sz w:val="22"/>
          <w:szCs w:val="22"/>
        </w:rPr>
      </w:pPr>
    </w:p>
    <w:p>
      <w:pPr>
        <w:ind w:firstLine="794"/>
        <w:jc w:val="both"/>
        <w:rPr>
          <w:szCs w:val="24"/>
        </w:rPr>
      </w:pPr>
      <w:r>
        <w:rPr>
          <w:szCs w:val="24"/>
        </w:rPr>
        <w:t>39</w:t>
      </w:r>
      <w:r>
        <w:rPr>
          <w:szCs w:val="24"/>
        </w:rPr>
        <w:t>. Vaikai turi būti maitinami ne rečiau kaip kas 3,5‒4 val. pagal poilsio stovyklos vadovo patvirtintus valgiaraščius.</w:t>
      </w:r>
    </w:p>
    <w:p>
      <w:pPr>
        <w:ind w:firstLine="794"/>
        <w:jc w:val="both"/>
        <w:rPr>
          <w:color w:val="000000"/>
        </w:rPr>
      </w:pPr>
      <w:r>
        <w:rPr>
          <w:rFonts w:eastAsia="Calibri"/>
          <w:szCs w:val="24"/>
        </w:rPr>
        <w:t>40</w:t>
      </w:r>
      <w:r>
        <w:rPr>
          <w:rFonts w:eastAsia="Calibri"/>
          <w:szCs w:val="24"/>
        </w:rPr>
        <w:t>. Vaikams, pateikusiems gydytojo raštiškus nurodymus (Forma Nr. 027-1/a), turi būti organizuojamas pritaikytas maitinimas.</w:t>
      </w:r>
    </w:p>
    <w:p>
      <w:pPr>
        <w:widowControl w:val="0"/>
        <w:suppressAutoHyphens/>
        <w:ind w:firstLine="794"/>
        <w:jc w:val="both"/>
        <w:rPr>
          <w:color w:val="000000"/>
        </w:rPr>
      </w:pPr>
      <w:r>
        <w:rPr>
          <w:color w:val="000000"/>
        </w:rPr>
        <w:t>41</w:t>
      </w:r>
      <w:r>
        <w:rPr>
          <w:color w:val="000000"/>
        </w:rPr>
        <w:t>. Žygio metu vaikai turi būti aprūpinti maistu ir geriamuoju vandeniu. Į žygį draudžiama imti greitai gendančius maisto produktus.</w:t>
      </w:r>
    </w:p>
    <w:p>
      <w:pPr>
        <w:widowControl w:val="0"/>
        <w:suppressAutoHyphens/>
        <w:ind w:firstLine="794"/>
        <w:jc w:val="both"/>
        <w:rPr>
          <w:color w:val="000000"/>
        </w:rPr>
      </w:pPr>
      <w:r>
        <w:rPr>
          <w:color w:val="000000"/>
        </w:rPr>
        <w:t>42</w:t>
      </w:r>
      <w:r>
        <w:rPr>
          <w:color w:val="000000"/>
        </w:rPr>
        <w:t>. Jei poilsio stovykloje vaikai kasdieną intensyviai sportuoja, šiems vaikams valgiaraščiai sudaromi atsižvelgiant į padidėjusį energijos poreikį.</w:t>
      </w:r>
    </w:p>
    <w:p>
      <w:pPr>
        <w:rPr>
          <w:szCs w:val="24"/>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SOCIALINĖS GLOBOS namuoSE </w:t>
      </w:r>
    </w:p>
    <w:p>
      <w:pPr>
        <w:widowControl w:val="0"/>
        <w:suppressAutoHyphens/>
        <w:jc w:val="both"/>
        <w:rPr>
          <w:color w:val="000000"/>
          <w:sz w:val="22"/>
          <w:szCs w:val="22"/>
        </w:rPr>
      </w:pPr>
    </w:p>
    <w:p>
      <w:pPr>
        <w:widowControl w:val="0"/>
        <w:suppressAutoHyphens/>
        <w:ind w:firstLine="794"/>
        <w:jc w:val="both"/>
        <w:rPr>
          <w:color w:val="000000"/>
        </w:rPr>
      </w:pPr>
      <w:r>
        <w:rPr>
          <w:color w:val="000000"/>
          <w:szCs w:val="24"/>
        </w:rPr>
        <w:t>43</w:t>
      </w:r>
      <w:r>
        <w:rPr>
          <w:color w:val="000000"/>
          <w:szCs w:val="24"/>
        </w:rPr>
        <w:t xml:space="preserve">.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pPr>
        <w:widowControl w:val="0"/>
        <w:suppressAutoHyphens/>
        <w:ind w:firstLine="794"/>
        <w:jc w:val="both"/>
        <w:rPr>
          <w:color w:val="000000"/>
        </w:rPr>
      </w:pPr>
      <w:r>
        <w:rPr>
          <w:color w:val="000000"/>
        </w:rPr>
        <w:t>44</w:t>
      </w:r>
      <w:r>
        <w:rPr>
          <w:color w:val="000000"/>
        </w:rPr>
        <w:t>. Vaikų iki 1 metų amžiaus maitinimo organizavimas:</w:t>
      </w:r>
    </w:p>
    <w:p>
      <w:pPr>
        <w:widowControl w:val="0"/>
        <w:suppressAutoHyphens/>
        <w:ind w:firstLine="794"/>
        <w:jc w:val="both"/>
        <w:rPr>
          <w:color w:val="000000"/>
        </w:rPr>
      </w:pPr>
      <w:r>
        <w:rPr>
          <w:color w:val="000000"/>
        </w:rPr>
        <w:t>44.1</w:t>
      </w:r>
      <w:r>
        <w:rPr>
          <w:color w:val="000000"/>
        </w:rPr>
        <w:t>.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44.3</w:t>
      </w:r>
      <w:r>
        <w:rPr>
          <w:color w:val="000000"/>
        </w:rPr>
        <w:t>. kūdikių mišiniai ruošiami pagal gamintojo instrukciją virtuvėje prieš pat maitinimą;</w:t>
      </w:r>
    </w:p>
    <w:p>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 mišinys turi būti išpilamas;</w:t>
      </w:r>
    </w:p>
    <w:p>
      <w:pPr>
        <w:widowControl w:val="0"/>
        <w:suppressAutoHyphens/>
        <w:ind w:firstLine="794"/>
        <w:jc w:val="both"/>
        <w:rPr>
          <w:color w:val="000000"/>
        </w:rPr>
      </w:pPr>
      <w:r>
        <w:rPr>
          <w:color w:val="000000"/>
        </w:rPr>
        <w:t>44.5</w:t>
      </w:r>
      <w:r>
        <w:rPr>
          <w:color w:val="000000"/>
        </w:rPr>
        <w:t>. kiti kūdikių specialios paskirties maisto produktai turi būti laikomi ir ruošiami gamintojo nurodytomis sąlygomis ir patiekiami vaikams pagal valgiaraščius.</w:t>
      </w:r>
    </w:p>
    <w:p>
      <w:pPr>
        <w:widowControl w:val="0"/>
        <w:suppressAutoHyphens/>
        <w:ind w:firstLine="794"/>
        <w:jc w:val="both"/>
        <w:rPr>
          <w:color w:val="000000"/>
        </w:rPr>
      </w:pPr>
      <w:r>
        <w:rPr>
          <w:color w:val="000000"/>
        </w:rPr>
        <w:t>45</w:t>
      </w:r>
      <w:r>
        <w:rPr>
          <w:color w:val="000000"/>
        </w:rPr>
        <w:t>. Vaikų nuo 1 iki 18 metų amžiaus maitinimo organizavimas:</w:t>
      </w:r>
    </w:p>
    <w:p>
      <w:pPr>
        <w:widowControl w:val="0"/>
        <w:suppressAutoHyphens/>
        <w:ind w:firstLine="794"/>
        <w:jc w:val="both"/>
        <w:rPr>
          <w:color w:val="000000"/>
        </w:rPr>
      </w:pPr>
      <w:r>
        <w:rPr>
          <w:color w:val="000000"/>
        </w:rPr>
        <w:t>45.1</w:t>
      </w:r>
      <w:r>
        <w:rPr>
          <w:color w:val="000000"/>
        </w:rPr>
        <w:t>. vaikai maitinami ne rečiau kaip kas 3,5–4 val.;</w:t>
      </w:r>
    </w:p>
    <w:p>
      <w:pPr>
        <w:suppressAutoHyphens/>
        <w:ind w:firstLine="794"/>
        <w:jc w:val="both"/>
        <w:textAlignment w:val="center"/>
        <w:rPr>
          <w:color w:val="000000"/>
        </w:rPr>
      </w:pPr>
      <w:r>
        <w:rPr>
          <w:rFonts w:eastAsia="Calibri"/>
          <w:szCs w:val="24"/>
        </w:rPr>
        <w:t>45.2</w:t>
      </w:r>
      <w:r>
        <w:rPr>
          <w:rFonts w:eastAsia="Calibri"/>
          <w:szCs w:val="24"/>
        </w:rPr>
        <w:t xml:space="preserve">.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widowControl w:val="0"/>
        <w:suppressAutoHyphens/>
        <w:ind w:firstLine="794"/>
        <w:jc w:val="both"/>
        <w:rPr>
          <w:color w:val="000000"/>
        </w:rPr>
      </w:pPr>
      <w:r>
        <w:rPr>
          <w:color w:val="000000"/>
        </w:rPr>
        <w:t>45.4</w:t>
      </w:r>
      <w:r>
        <w:rPr>
          <w:color w:val="000000"/>
        </w:rPr>
        <w:t>. pagal gydytojo raštiškus nurodymus (Forma Nr. 027-1/a) turi būti organizuojamas pritaikytas maitinimas.</w:t>
      </w:r>
    </w:p>
    <w:p>
      <w:pPr>
        <w:widowControl w:val="0"/>
        <w:suppressAutoHyphens/>
        <w:ind w:firstLine="794"/>
        <w:jc w:val="both"/>
        <w:rPr>
          <w:color w:val="000000"/>
          <w:sz w:val="20"/>
        </w:rPr>
      </w:pPr>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VAIKŲ MAITINIMO VALGIARAŠČIŲ SUDARYMO REIKALAVIMAI</w:t>
      </w:r>
    </w:p>
    <w:p>
      <w:pPr>
        <w:widowControl w:val="0"/>
        <w:suppressAutoHyphens/>
        <w:ind w:firstLine="567"/>
        <w:jc w:val="both"/>
        <w:rPr>
          <w:color w:val="000000"/>
          <w:sz w:val="20"/>
        </w:rPr>
      </w:pPr>
    </w:p>
    <w:p>
      <w:pPr>
        <w:tabs>
          <w:tab w:val="left" w:pos="426"/>
        </w:tabs>
        <w:ind w:firstLine="851"/>
        <w:jc w:val="both"/>
        <w:rPr>
          <w:color w:val="000000"/>
        </w:rPr>
      </w:pPr>
      <w:r>
        <w:rPr>
          <w:szCs w:val="24"/>
        </w:rPr>
        <w:t>46</w:t>
      </w:r>
      <w:r>
        <w:rPr>
          <w:szCs w:val="24"/>
        </w:rPr>
        <w:t xml:space="preserve">.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pPr>
        <w:suppressAutoHyphens/>
        <w:ind w:firstLine="851"/>
        <w:jc w:val="both"/>
        <w:textAlignment w:val="center"/>
        <w:rPr>
          <w:color w:val="000000"/>
        </w:rPr>
      </w:pPr>
      <w:r>
        <w:rPr>
          <w:color w:val="000000"/>
          <w:szCs w:val="24"/>
        </w:rPr>
        <w:t>47</w:t>
      </w:r>
      <w:r>
        <w:rPr>
          <w:color w:val="000000"/>
          <w:szCs w:val="24"/>
        </w:rPr>
        <w:t>.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pPr>
        <w:tabs>
          <w:tab w:val="left" w:pos="0"/>
        </w:tabs>
        <w:ind w:firstLine="851"/>
        <w:jc w:val="both"/>
        <w:rPr>
          <w:color w:val="000000"/>
        </w:rPr>
      </w:pPr>
      <w:r>
        <w:rPr>
          <w:szCs w:val="24"/>
        </w:rPr>
        <w:t>48</w:t>
      </w:r>
      <w:r>
        <w:rPr>
          <w:szCs w:val="24"/>
        </w:rPr>
        <w:t xml:space="preserve">.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pPr>
        <w:widowControl w:val="0"/>
        <w:suppressAutoHyphens/>
        <w:ind w:firstLine="851"/>
        <w:jc w:val="both"/>
        <w:rPr>
          <w:color w:val="000000"/>
        </w:rPr>
      </w:pPr>
      <w:r>
        <w:rPr>
          <w:color w:val="000000"/>
        </w:rPr>
        <w:t>49</w:t>
      </w:r>
      <w:r>
        <w:rPr>
          <w:color w:val="000000"/>
        </w:rPr>
        <w:t>. Vaikų nuo 1 iki 18 metų amžiaus maitinimo valgiaraščiai sudaromi (pasirinktinai):</w:t>
      </w:r>
    </w:p>
    <w:p>
      <w:pPr>
        <w:widowControl w:val="0"/>
        <w:suppressAutoHyphens/>
        <w:ind w:firstLine="851"/>
        <w:jc w:val="both"/>
        <w:rPr>
          <w:color w:val="000000"/>
          <w:spacing w:val="-8"/>
        </w:rPr>
      </w:pPr>
      <w:r>
        <w:rPr>
          <w:color w:val="000000"/>
          <w:spacing w:val="-8"/>
        </w:rPr>
        <w:t>49.1</w:t>
      </w:r>
      <w:r>
        <w:rPr>
          <w:color w:val="000000"/>
          <w:spacing w:val="-8"/>
        </w:rPr>
        <w:t>. pagal patiekalų receptūrų pavyzdžius, pateiktus interneto svetainėje adresu www.smlpc.lt/lt/mityba_ir_fizinis_aktyvumas/rekomenduojami_perspektyviniai_valgiaraščiai;</w:t>
      </w:r>
    </w:p>
    <w:p>
      <w:pPr>
        <w:widowControl w:val="0"/>
        <w:suppressAutoHyphens/>
        <w:ind w:firstLine="851"/>
        <w:jc w:val="both"/>
        <w:rPr>
          <w:color w:val="000000"/>
        </w:rPr>
      </w:pPr>
      <w:r>
        <w:rPr>
          <w:color w:val="000000"/>
        </w:rPr>
        <w:t>49.2</w:t>
      </w:r>
      <w:r>
        <w:rPr>
          <w:color w:val="000000"/>
        </w:rPr>
        <w:t xml:space="preserve">. savarankiškai maitinimo paslaugos teikėjo, vadovaujantis Tvarkos aprašo reikalavimais; </w:t>
      </w:r>
    </w:p>
    <w:p>
      <w:pPr>
        <w:widowControl w:val="0"/>
        <w:suppressAutoHyphens/>
        <w:ind w:firstLine="851"/>
        <w:jc w:val="both"/>
        <w:rPr>
          <w:color w:val="000000"/>
        </w:rPr>
      </w:pPr>
      <w:r>
        <w:rPr>
          <w:color w:val="000000"/>
        </w:rPr>
        <w:t>49.3</w:t>
      </w:r>
      <w:r>
        <w:rPr>
          <w:color w:val="000000"/>
        </w:rPr>
        <w:t>. pagal gydytojo raštiškas rekomendacijas (</w:t>
      </w:r>
      <w:r>
        <w:rPr>
          <w:rFonts w:eastAsia="Calibri"/>
          <w:szCs w:val="24"/>
        </w:rPr>
        <w:t>Forma Nr. 027-1/a</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520d20bd5f11e88f64a5ecc703f89b">
        <w:r w:rsidRPr="00532B9F">
          <w:rPr>
            <w:rFonts w:ascii="Times New Roman" w:eastAsia="MS Mincho" w:hAnsi="Times New Roman"/>
            <w:sz w:val="20"/>
            <w:i/>
            <w:iCs/>
            <w:color w:val="0000FF" w:themeColor="hyperlink"/>
            <w:u w:val="single"/>
          </w:rPr>
          <w:t>V-1030</w:t>
        </w:r>
      </w:fldSimple>
      <w:r>
        <w:rPr>
          <w:rFonts w:ascii="Times New Roman" w:eastAsia="MS Mincho" w:hAnsi="Times New Roman"/>
          <w:sz w:val="20"/>
          <w:i/>
          <w:iCs/>
        </w:rPr>
        <w:t>,
2018-09-20,
paskelbta TAR 2018-09-21, i. k. 2018-14822            </w:t>
      </w:r>
    </w:p>
    <w:p/>
    <w:p>
      <w:pPr>
        <w:ind w:firstLine="851"/>
        <w:jc w:val="both"/>
      </w:pPr>
      <w:r>
        <w:rPr>
          <w:szCs w:val="24"/>
          <w:lang w:eastAsia="lt-LT"/>
        </w:rPr>
        <w:t>50</w:t>
      </w:r>
      <w:r>
        <w:rPr>
          <w:szCs w:val="24"/>
          <w:lang w:eastAsia="lt-LT"/>
        </w:rPr>
        <w:t xml:space="preserve">. Valgiaraščiai  derinami  </w:t>
      </w:r>
      <w:r>
        <w:t xml:space="preserve">Valstybinės maisto ir veterinarijos tarnybos  2015  m. birželio 22 d. direktoriaus įsakyme Nr. B1-610 „Dėl Vaikų ugdymo įstaigų, vaikų socialinės globos namų ir vaikų poilsio stovyklų valgiaraščių derinimo tvarkos aprašo patvirtinimo“ nustatyta tvarka.</w:t>
      </w:r>
    </w:p>
    <w:p>
      <w:pPr>
        <w:ind w:firstLine="851"/>
        <w:jc w:val="both"/>
        <w:rPr>
          <w:sz w:val="20"/>
          <w:lang w:eastAsia="lt-LT"/>
        </w:rPr>
      </w:pPr>
    </w:p>
    <w:p>
      <w:pPr>
        <w:ind w:firstLine="851"/>
        <w:jc w:val="both"/>
        <w:rPr>
          <w:sz w:val="20"/>
          <w:lang w:eastAsia="lt-LT"/>
        </w:rPr>
      </w:pPr>
    </w:p>
    <w:p>
      <w:pPr>
        <w:jc w:val="center"/>
        <w:rPr>
          <w:b/>
          <w:bCs/>
          <w:caps/>
          <w:color w:val="000000"/>
        </w:rPr>
      </w:pPr>
      <w:r>
        <w:rPr>
          <w:b/>
          <w:bCs/>
          <w:caps/>
          <w:color w:val="000000"/>
        </w:rPr>
        <w:t>IX</w:t>
      </w:r>
      <w:r>
        <w:rPr>
          <w:b/>
          <w:bCs/>
          <w:caps/>
          <w:color w:val="000000"/>
        </w:rPr>
        <w:t xml:space="preserve"> SKYRIUS</w:t>
      </w:r>
    </w:p>
    <w:p>
      <w:pPr>
        <w:jc w:val="center"/>
        <w:rPr>
          <w:b/>
          <w:szCs w:val="24"/>
          <w:lang w:eastAsia="lt-LT"/>
        </w:rPr>
      </w:pPr>
      <w:r>
        <w:rPr>
          <w:b/>
          <w:szCs w:val="24"/>
          <w:lang w:eastAsia="lt-LT"/>
        </w:rPr>
        <w:t>BAIGIAMOSIOS NUOSTATOS</w:t>
      </w:r>
    </w:p>
    <w:p>
      <w:pPr>
        <w:ind w:firstLine="851"/>
        <w:jc w:val="center"/>
        <w:rPr>
          <w:sz w:val="20"/>
          <w:lang w:eastAsia="lt-LT"/>
        </w:rPr>
      </w:pPr>
    </w:p>
    <w:p>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ind w:firstLine="851"/>
        <w:jc w:val="both"/>
      </w:pPr>
      <w:r>
        <w:t>52</w:t>
      </w:r>
      <w:r>
        <w:t>. Valgiaraščių ir vaikų maitinimo atitikties patikrinimo žurnalas Mokykloje saugomas dvejus metus.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c0e220f57e11e4927fda1d051299fb">
        <w:r w:rsidRPr="00532B9F">
          <w:rPr>
            <w:rFonts w:ascii="Times New Roman" w:eastAsia="MS Mincho" w:hAnsi="Times New Roman"/>
            <w:sz w:val="20"/>
            <w:i/>
            <w:iCs/>
            <w:color w:val="0000FF" w:themeColor="hyperlink"/>
            <w:u w:val="single"/>
          </w:rPr>
          <w:t>V-591</w:t>
        </w:r>
      </w:fldSimple>
      <w:r>
        <w:rPr>
          <w:rFonts w:ascii="Times New Roman" w:eastAsia="MS Mincho" w:hAnsi="Times New Roman"/>
          <w:sz w:val="20"/>
          <w:i/>
          <w:iCs/>
        </w:rPr>
        <w:t>,
2015-05-07,
paskelbta TAR 2015-05-08, i. k. 2015-07024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4926"/>
        <w:sectPr>
          <w:pgSz w:w="11907" w:h="16840" w:code="9"/>
          <w:pgMar w:top="1134" w:right="567" w:bottom="1134" w:left="1701" w:header="567" w:footer="794" w:gutter="0"/>
          <w:pgNumType w:start="1"/>
          <w:cols w:space="1296"/>
          <w:titlePg/>
          <w:docGrid w:linePitch="360"/>
        </w:sectPr>
      </w:pPr>
    </w:p>
    <w:p>
      <w:pPr>
        <w:ind w:firstLine="3119"/>
        <w:rPr>
          <w:rFonts w:eastAsia="Calibri"/>
          <w:szCs w:val="24"/>
        </w:rPr>
      </w:pPr>
      <w:r>
        <w:rPr>
          <w:rFonts w:eastAsia="Calibri"/>
          <w:szCs w:val="24"/>
        </w:rPr>
        <w:t>Vaikų maitinimo organizavimo tvarkos aprašo</w:t>
      </w:r>
    </w:p>
    <w:p>
      <w:pPr>
        <w:ind w:firstLine="3119"/>
        <w:rPr>
          <w:rFonts w:eastAsia="Calibri"/>
          <w:szCs w:val="24"/>
        </w:rPr>
      </w:pPr>
      <w:r>
        <w:rPr>
          <w:rFonts w:eastAsia="Calibri"/>
          <w:szCs w:val="24"/>
        </w:rPr>
        <w:t>1</w:t>
      </w:r>
      <w:r>
        <w:rPr>
          <w:rFonts w:eastAsia="Calibri"/>
          <w:szCs w:val="24"/>
        </w:rPr>
        <w:t xml:space="preserve"> priedas</w:t>
      </w:r>
    </w:p>
    <w:p>
      <w:pPr>
        <w:jc w:val="both"/>
        <w:rPr>
          <w:rFonts w:eastAsia="Calibri"/>
          <w:b/>
          <w:szCs w:val="24"/>
          <w:lang w:eastAsia="lt-LT"/>
        </w:rPr>
      </w:pPr>
    </w:p>
    <w:p>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pPr>
        <w:rPr>
          <w:b/>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pPr>
        <w:ind w:firstLine="851"/>
        <w:jc w:val="both"/>
        <w:rPr>
          <w:rFonts w:eastAsia="Calibri"/>
          <w:szCs w:val="24"/>
          <w:lang w:eastAsia="lt-LT"/>
        </w:rPr>
      </w:pPr>
      <w:r>
        <w:rPr>
          <w:rFonts w:eastAsia="Calibri"/>
          <w:szCs w:val="24"/>
          <w:lang w:eastAsia="lt-LT"/>
        </w:rPr>
        <w:t>2.4</w:t>
      </w:r>
      <w:r>
        <w:rPr>
          <w:rFonts w:eastAsia="Calibri"/>
          <w:szCs w:val="24"/>
          <w:lang w:eastAsia="lt-LT"/>
        </w:rPr>
        <w:t>. ar vykdomi Tvarkos aprašo 24, 25, 26, 28, 29 punktų reikalavimai</w:t>
      </w:r>
      <w:r>
        <w:rPr>
          <w:szCs w:val="24"/>
          <w:lang w:eastAsia="lt-LT"/>
        </w:rPr>
        <w:t>;</w:t>
      </w:r>
    </w:p>
    <w:p>
      <w:pPr>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ind w:firstLine="851"/>
        <w:jc w:val="both"/>
        <w:rPr>
          <w:rFonts w:eastAsia="Calibri"/>
          <w:szCs w:val="24"/>
          <w:lang w:eastAsia="lt-LT"/>
        </w:rPr>
      </w:pPr>
      <w:r>
        <w:rPr>
          <w:rFonts w:eastAsia="Calibri"/>
          <w:szCs w:val="24"/>
        </w:rPr>
        <w:t>2.10</w:t>
      </w:r>
      <w:r>
        <w:rPr>
          <w:rFonts w:eastAsia="Calibri"/>
          <w:szCs w:val="24"/>
        </w:rPr>
        <w:t xml:space="preserve">.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pPr>
        <w:jc w:val="both"/>
        <w:rPr>
          <w:szCs w:val="24"/>
          <w:lang w:eastAsia="lt-LT"/>
        </w:rPr>
      </w:pPr>
    </w:p>
    <w:p>
      <w:pPr>
        <w:jc w:val="both"/>
        <w:rPr>
          <w:b/>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color w:val="000000"/>
        </w:rPr>
      </w:pPr>
      <w:r>
        <w:rPr>
          <w:b/>
        </w:rPr>
        <w:t>(Valgiaraščių ir vaikų maitinimo atitikties patikrinimo žurnalo forma)</w:t>
      </w:r>
    </w:p>
    <w:p>
      <w:pPr>
        <w:widowControl w:val="0"/>
        <w:rPr>
          <w:color w:val="000000"/>
        </w:rPr>
      </w:pPr>
    </w:p>
    <w:p>
      <w:pPr>
        <w:widowControl w:val="0"/>
        <w:jc w:val="center"/>
        <w:rPr>
          <w:b/>
        </w:rPr>
      </w:pPr>
      <w:r>
        <w:rPr>
          <w:b/>
        </w:rPr>
        <w:t xml:space="preserve">VALGIARAŠČIŲ IR VAIKŲ MAITINIMO ATITIKTIES PATIKRINIMO ŽURNALAS </w:t>
      </w:r>
    </w:p>
    <w:p>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tc>
          <w:tcPr>
            <w:tcW w:w="70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Neatitikties pašalinimo terminas</w:t>
            </w:r>
          </w:p>
          <w:p>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Įvykdyta</w:t>
            </w:r>
          </w:p>
          <w:p>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Tikrinusio asmens vardas, pavardė, parašas</w:t>
            </w: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bl>
    <w:p>
      <w:pPr>
        <w:widowControl w:val="0"/>
        <w:jc w:val="both"/>
        <w:rPr>
          <w:color w:val="000000"/>
        </w:rPr>
      </w:pPr>
    </w:p>
    <w:p>
      <w:pPr>
        <w:widowControl w:val="0"/>
        <w:jc w:val="center"/>
        <w:rPr>
          <w:color w:val="000000"/>
        </w:rPr>
      </w:pPr>
    </w:p>
    <w:p>
      <w:pPr>
        <w:widowControl w:val="0"/>
        <w:jc w:val="center"/>
        <w:rPr>
          <w:color w:val="000000"/>
        </w:rPr>
      </w:pPr>
      <w:r>
        <w:rPr>
          <w:color w:val="000000"/>
        </w:rPr>
        <w:t>_______________</w:t>
      </w:r>
    </w:p>
    <w:p>
      <w:pPr>
        <w:ind w:left="3894" w:firstLine="1054"/>
        <w:sectPr>
          <w:pgSz w:w="11907" w:h="16840" w:code="9"/>
          <w:pgMar w:top="1134" w:right="567" w:bottom="1134" w:left="1701" w:header="567" w:footer="794" w:gutter="0"/>
          <w:pgNumType w:start="1"/>
          <w:cols w:space="1296"/>
          <w:titlePg/>
          <w:docGrid w:linePitch="360"/>
        </w:sectPr>
      </w:pPr>
    </w:p>
    <w:p>
      <w:pPr>
        <w:ind w:firstLine="3402"/>
        <w:rPr>
          <w:rFonts w:eastAsia="Calibri"/>
          <w:szCs w:val="24"/>
        </w:rPr>
      </w:pPr>
      <w:r>
        <w:rPr>
          <w:rFonts w:eastAsia="Calibri"/>
          <w:szCs w:val="24"/>
        </w:rPr>
        <w:t>Vaikų maitinimo organizavimo tvarkos aprašo</w:t>
      </w:r>
    </w:p>
    <w:p>
      <w:pPr>
        <w:ind w:firstLine="3402"/>
        <w:rPr>
          <w:rFonts w:eastAsia="Calibri"/>
          <w:b/>
          <w:szCs w:val="24"/>
        </w:rPr>
      </w:pPr>
      <w:r>
        <w:rPr>
          <w:rFonts w:eastAsia="Calibri"/>
          <w:szCs w:val="24"/>
        </w:rPr>
        <w:t>3</w:t>
      </w:r>
      <w:r>
        <w:rPr>
          <w:rFonts w:eastAsia="Calibri"/>
          <w:szCs w:val="24"/>
        </w:rPr>
        <w:t xml:space="preserve"> priedas</w:t>
      </w:r>
    </w:p>
    <w:p>
      <w:pPr>
        <w:ind w:firstLine="851"/>
        <w:rPr>
          <w:rFonts w:eastAsia="Calibri"/>
          <w:sz w:val="22"/>
          <w:szCs w:val="22"/>
        </w:rPr>
      </w:pPr>
    </w:p>
    <w:p>
      <w:pPr>
        <w:ind w:firstLine="851"/>
        <w:rPr>
          <w:rFonts w:eastAsia="Calibri"/>
          <w:sz w:val="22"/>
          <w:szCs w:val="22"/>
        </w:rPr>
      </w:pPr>
    </w:p>
    <w:p>
      <w:pPr>
        <w:ind w:firstLine="851"/>
        <w:jc w:val="center"/>
        <w:rPr>
          <w:rFonts w:eastAsia="Calibri"/>
          <w:b/>
          <w:szCs w:val="24"/>
        </w:rPr>
      </w:pPr>
      <w:r>
        <w:rPr>
          <w:rFonts w:eastAsia="Calibri"/>
          <w:b/>
          <w:szCs w:val="24"/>
        </w:rPr>
        <w:t>MAISTO PRIEDŲ, KURIŲ NETURI BŪTI VAIKAMS MAITINTI TIEKIAMUOSE MAISTO PRODUKTUOSE, SĄRAŠAS</w:t>
      </w:r>
    </w:p>
    <w:p>
      <w:pPr>
        <w:ind w:firstLine="851"/>
        <w:rPr>
          <w:sz w:val="18"/>
          <w:szCs w:val="18"/>
        </w:rPr>
      </w:pPr>
    </w:p>
    <w:p>
      <w:pPr>
        <w:rPr>
          <w:sz w:val="18"/>
          <w:szCs w:val="18"/>
        </w:rPr>
      </w:pPr>
    </w:p>
    <w:p>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ind w:firstLine="851"/>
        <w:rPr>
          <w:sz w:val="18"/>
          <w:szCs w:val="18"/>
        </w:rPr>
      </w:pPr>
    </w:p>
    <w:p>
      <w:pPr>
        <w:ind w:firstLine="851"/>
        <w:rPr>
          <w:rFonts w:eastAsia="Calibri"/>
          <w:szCs w:val="24"/>
        </w:rPr>
      </w:pPr>
      <w:r>
        <w:rPr>
          <w:rFonts w:eastAsia="Calibri"/>
          <w:szCs w:val="24"/>
        </w:rPr>
        <w:t>1.1</w:t>
      </w:r>
      <w:r>
        <w:rPr>
          <w:rFonts w:eastAsia="Calibri"/>
          <w:szCs w:val="24"/>
        </w:rPr>
        <w:t xml:space="preserve">.   E 102</w:t>
        <w:tab/>
        <w:t>tartrazinas;</w:t>
      </w:r>
    </w:p>
    <w:p>
      <w:pPr>
        <w:ind w:firstLine="851"/>
        <w:rPr>
          <w:rFonts w:eastAsia="Calibri"/>
          <w:szCs w:val="24"/>
        </w:rPr>
      </w:pPr>
      <w:r>
        <w:rPr>
          <w:rFonts w:eastAsia="Calibri"/>
          <w:szCs w:val="24"/>
        </w:rPr>
        <w:t>1.2</w:t>
      </w:r>
      <w:r>
        <w:rPr>
          <w:rFonts w:eastAsia="Calibri"/>
          <w:szCs w:val="24"/>
        </w:rPr>
        <w:t xml:space="preserve">.   E 104</w:t>
        <w:tab/>
        <w:t>chinolino geltonasis;</w:t>
      </w:r>
    </w:p>
    <w:p>
      <w:pPr>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ind w:firstLine="851"/>
        <w:rPr>
          <w:rFonts w:eastAsia="Calibri"/>
          <w:szCs w:val="24"/>
        </w:rPr>
      </w:pPr>
      <w:r>
        <w:rPr>
          <w:rFonts w:eastAsia="Calibri"/>
          <w:szCs w:val="24"/>
        </w:rPr>
        <w:t>1.5</w:t>
      </w:r>
      <w:r>
        <w:rPr>
          <w:rFonts w:eastAsia="Calibri"/>
          <w:szCs w:val="24"/>
        </w:rPr>
        <w:t xml:space="preserve">.   E 122</w:t>
        <w:tab/>
        <w:t>azorubinas, karmosinas;</w:t>
      </w:r>
    </w:p>
    <w:p>
      <w:pPr>
        <w:ind w:firstLine="851"/>
        <w:rPr>
          <w:rFonts w:eastAsia="Calibri"/>
          <w:szCs w:val="24"/>
        </w:rPr>
      </w:pPr>
      <w:r>
        <w:rPr>
          <w:rFonts w:eastAsia="Calibri"/>
          <w:szCs w:val="24"/>
        </w:rPr>
        <w:t>1.6</w:t>
      </w:r>
      <w:r>
        <w:rPr>
          <w:rFonts w:eastAsia="Calibri"/>
          <w:szCs w:val="24"/>
        </w:rPr>
        <w:t xml:space="preserve">.   E 123</w:t>
        <w:tab/>
        <w:t>amarantas;</w:t>
      </w:r>
    </w:p>
    <w:p>
      <w:pPr>
        <w:ind w:firstLine="851"/>
        <w:rPr>
          <w:rFonts w:eastAsia="Calibri"/>
          <w:szCs w:val="24"/>
        </w:rPr>
      </w:pPr>
      <w:r>
        <w:rPr>
          <w:rFonts w:eastAsia="Calibri"/>
          <w:szCs w:val="24"/>
        </w:rPr>
        <w:t>1.7</w:t>
      </w:r>
      <w:r>
        <w:rPr>
          <w:rFonts w:eastAsia="Calibri"/>
          <w:szCs w:val="24"/>
        </w:rPr>
        <w:t xml:space="preserve">.   E 124</w:t>
        <w:tab/>
        <w:t>ponso 4R, košenilis raudonasis A;</w:t>
      </w:r>
    </w:p>
    <w:p>
      <w:pPr>
        <w:ind w:firstLine="851"/>
        <w:rPr>
          <w:rFonts w:eastAsia="Calibri"/>
          <w:szCs w:val="24"/>
        </w:rPr>
      </w:pPr>
      <w:r>
        <w:rPr>
          <w:rFonts w:eastAsia="Calibri"/>
          <w:szCs w:val="24"/>
        </w:rPr>
        <w:t>1.8</w:t>
      </w:r>
      <w:r>
        <w:rPr>
          <w:rFonts w:eastAsia="Calibri"/>
          <w:szCs w:val="24"/>
        </w:rPr>
        <w:t xml:space="preserve">.   E 127</w:t>
        <w:tab/>
        <w:t>eritrozinas;</w:t>
      </w:r>
    </w:p>
    <w:p>
      <w:pPr>
        <w:ind w:firstLine="851"/>
        <w:rPr>
          <w:rFonts w:eastAsia="Calibri"/>
          <w:szCs w:val="24"/>
        </w:rPr>
      </w:pPr>
      <w:r>
        <w:rPr>
          <w:rFonts w:eastAsia="Calibri"/>
          <w:szCs w:val="24"/>
        </w:rPr>
        <w:t>1.9</w:t>
      </w:r>
      <w:r>
        <w:rPr>
          <w:rFonts w:eastAsia="Calibri"/>
          <w:szCs w:val="24"/>
        </w:rPr>
        <w:t xml:space="preserve">.   E 129</w:t>
        <w:tab/>
        <w:t>alura raudonasis AC;</w:t>
      </w:r>
    </w:p>
    <w:p>
      <w:pPr>
        <w:ind w:firstLine="851"/>
        <w:rPr>
          <w:rFonts w:eastAsia="Calibri"/>
          <w:szCs w:val="24"/>
        </w:rPr>
      </w:pPr>
      <w:r>
        <w:rPr>
          <w:rFonts w:eastAsia="Calibri"/>
          <w:szCs w:val="24"/>
        </w:rPr>
        <w:t>1.10</w:t>
      </w:r>
      <w:r>
        <w:rPr>
          <w:rFonts w:eastAsia="Calibri"/>
          <w:szCs w:val="24"/>
        </w:rPr>
        <w:t>. E 131</w:t>
        <w:tab/>
        <w:t>patentuotas mėlynasis V;</w:t>
      </w:r>
    </w:p>
    <w:p>
      <w:pPr>
        <w:ind w:firstLine="851"/>
        <w:rPr>
          <w:rFonts w:eastAsia="Calibri"/>
          <w:szCs w:val="24"/>
        </w:rPr>
      </w:pPr>
      <w:r>
        <w:rPr>
          <w:rFonts w:eastAsia="Calibri"/>
          <w:szCs w:val="24"/>
        </w:rPr>
        <w:t>1.11</w:t>
      </w:r>
      <w:r>
        <w:rPr>
          <w:rFonts w:eastAsia="Calibri"/>
          <w:szCs w:val="24"/>
        </w:rPr>
        <w:t>. E 132</w:t>
        <w:tab/>
        <w:t>indigotinas, indigokarminas;</w:t>
      </w:r>
    </w:p>
    <w:p>
      <w:pPr>
        <w:ind w:firstLine="851"/>
        <w:rPr>
          <w:rFonts w:eastAsia="Calibri"/>
          <w:szCs w:val="24"/>
        </w:rPr>
      </w:pPr>
      <w:r>
        <w:rPr>
          <w:rFonts w:eastAsia="Calibri"/>
          <w:szCs w:val="24"/>
        </w:rPr>
        <w:t>1.12</w:t>
      </w:r>
      <w:r>
        <w:rPr>
          <w:rFonts w:eastAsia="Calibri"/>
          <w:szCs w:val="24"/>
        </w:rPr>
        <w:t>. E 133</w:t>
        <w:tab/>
        <w:t>briliantinis mėlynasis FCF;</w:t>
      </w:r>
    </w:p>
    <w:p>
      <w:pPr>
        <w:ind w:firstLine="851"/>
        <w:rPr>
          <w:rFonts w:eastAsia="Calibri"/>
          <w:szCs w:val="24"/>
        </w:rPr>
      </w:pPr>
      <w:r>
        <w:rPr>
          <w:rFonts w:eastAsia="Calibri"/>
          <w:szCs w:val="24"/>
        </w:rPr>
        <w:t>1.13</w:t>
      </w:r>
      <w:r>
        <w:rPr>
          <w:rFonts w:eastAsia="Calibri"/>
          <w:szCs w:val="24"/>
        </w:rPr>
        <w:t>. E 142</w:t>
        <w:tab/>
        <w:t>žaliasis S;</w:t>
      </w:r>
    </w:p>
    <w:p>
      <w:pPr>
        <w:ind w:firstLine="851"/>
        <w:rPr>
          <w:rFonts w:eastAsia="Calibri"/>
          <w:strike/>
          <w:szCs w:val="24"/>
        </w:rPr>
      </w:pPr>
      <w:r>
        <w:rPr>
          <w:rFonts w:eastAsia="Calibri"/>
          <w:szCs w:val="24"/>
        </w:rPr>
        <w:t>1.14</w:t>
      </w:r>
      <w:r>
        <w:rPr>
          <w:rFonts w:eastAsia="Calibri"/>
          <w:szCs w:val="24"/>
        </w:rPr>
        <w:t>. E 151</w:t>
        <w:tab/>
        <w:t>briliantinis juodasis BN;</w:t>
      </w:r>
    </w:p>
    <w:p>
      <w:pPr>
        <w:ind w:firstLine="851"/>
        <w:rPr>
          <w:rFonts w:eastAsia="Calibri"/>
          <w:szCs w:val="24"/>
        </w:rPr>
      </w:pPr>
      <w:r>
        <w:rPr>
          <w:rFonts w:eastAsia="Calibri"/>
          <w:szCs w:val="24"/>
        </w:rPr>
        <w:t>1.15</w:t>
      </w:r>
      <w:r>
        <w:rPr>
          <w:rFonts w:eastAsia="Calibri"/>
          <w:szCs w:val="24"/>
        </w:rPr>
        <w:t>. E 155</w:t>
        <w:tab/>
        <w:t>rudasis HT;</w:t>
      </w:r>
    </w:p>
    <w:p>
      <w:pPr>
        <w:ind w:firstLine="851"/>
        <w:rPr>
          <w:rFonts w:eastAsia="Calibri"/>
          <w:szCs w:val="24"/>
        </w:rPr>
      </w:pPr>
      <w:r>
        <w:rPr>
          <w:rFonts w:eastAsia="Calibri"/>
          <w:szCs w:val="24"/>
        </w:rPr>
        <w:t>1.16</w:t>
      </w:r>
      <w:r>
        <w:rPr>
          <w:rFonts w:eastAsia="Calibri"/>
          <w:szCs w:val="24"/>
        </w:rPr>
        <w:t>. E 180</w:t>
        <w:tab/>
        <w:t>litolrubinas BK.</w:t>
      </w:r>
    </w:p>
    <w:p>
      <w:pPr>
        <w:rPr>
          <w:sz w:val="18"/>
          <w:szCs w:val="18"/>
        </w:rPr>
      </w:pPr>
    </w:p>
    <w:p>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pPr>
        <w:ind w:firstLine="851"/>
        <w:rPr>
          <w:sz w:val="18"/>
          <w:szCs w:val="18"/>
        </w:rPr>
      </w:pPr>
    </w:p>
    <w:p>
      <w:pPr>
        <w:ind w:firstLine="851"/>
        <w:rPr>
          <w:rFonts w:eastAsia="Calibri"/>
          <w:szCs w:val="24"/>
        </w:rPr>
      </w:pPr>
      <w:r>
        <w:rPr>
          <w:rFonts w:eastAsia="Calibri"/>
          <w:szCs w:val="24"/>
        </w:rPr>
        <w:t>2.1</w:t>
      </w:r>
      <w:r>
        <w:rPr>
          <w:rFonts w:eastAsia="Calibri"/>
          <w:szCs w:val="24"/>
        </w:rPr>
        <w:t>. E 200</w:t>
        <w:tab/>
        <w:t>sorbo rūgštis;</w:t>
      </w:r>
    </w:p>
    <w:p>
      <w:pPr>
        <w:ind w:firstLine="851"/>
        <w:rPr>
          <w:rFonts w:eastAsia="Calibri"/>
          <w:szCs w:val="24"/>
        </w:rPr>
      </w:pPr>
      <w:r>
        <w:rPr>
          <w:rFonts w:eastAsia="Calibri"/>
          <w:szCs w:val="24"/>
        </w:rPr>
        <w:t>2.2</w:t>
      </w:r>
      <w:r>
        <w:rPr>
          <w:rFonts w:eastAsia="Calibri"/>
          <w:szCs w:val="24"/>
        </w:rPr>
        <w:t>. E 202</w:t>
        <w:tab/>
        <w:t>kalio sorbatas;</w:t>
      </w:r>
    </w:p>
    <w:p>
      <w:pPr>
        <w:ind w:firstLine="851"/>
        <w:rPr>
          <w:rFonts w:eastAsia="Calibri"/>
          <w:szCs w:val="24"/>
        </w:rPr>
      </w:pPr>
      <w:r>
        <w:rPr>
          <w:rFonts w:eastAsia="Calibri"/>
          <w:szCs w:val="24"/>
        </w:rPr>
        <w:t>2.3</w:t>
      </w:r>
      <w:r>
        <w:rPr>
          <w:rFonts w:eastAsia="Calibri"/>
          <w:szCs w:val="24"/>
        </w:rPr>
        <w:t>. E 203</w:t>
        <w:tab/>
        <w:t>kalcio sorbatas;</w:t>
      </w:r>
    </w:p>
    <w:p>
      <w:pPr>
        <w:ind w:firstLine="851"/>
        <w:rPr>
          <w:rFonts w:eastAsia="Calibri"/>
          <w:szCs w:val="24"/>
        </w:rPr>
      </w:pPr>
      <w:r>
        <w:rPr>
          <w:rFonts w:eastAsia="Calibri"/>
          <w:szCs w:val="24"/>
        </w:rPr>
        <w:t>2.4</w:t>
      </w:r>
      <w:r>
        <w:rPr>
          <w:rFonts w:eastAsia="Calibri"/>
          <w:szCs w:val="24"/>
        </w:rPr>
        <w:t>. E 210</w:t>
        <w:tab/>
        <w:t>benzenkarboksirūgštis;</w:t>
      </w:r>
    </w:p>
    <w:p>
      <w:pPr>
        <w:ind w:firstLine="851"/>
        <w:rPr>
          <w:rFonts w:eastAsia="Calibri"/>
          <w:szCs w:val="24"/>
        </w:rPr>
      </w:pPr>
      <w:r>
        <w:rPr>
          <w:rFonts w:eastAsia="Calibri"/>
          <w:szCs w:val="24"/>
        </w:rPr>
        <w:t>2.5</w:t>
      </w:r>
      <w:r>
        <w:rPr>
          <w:rFonts w:eastAsia="Calibri"/>
          <w:szCs w:val="24"/>
        </w:rPr>
        <w:t>. E 211</w:t>
        <w:tab/>
        <w:t>natrio benzoatas;</w:t>
      </w:r>
    </w:p>
    <w:p>
      <w:pPr>
        <w:ind w:firstLine="851"/>
        <w:rPr>
          <w:rFonts w:eastAsia="Calibri"/>
          <w:szCs w:val="24"/>
        </w:rPr>
      </w:pPr>
      <w:r>
        <w:rPr>
          <w:rFonts w:eastAsia="Calibri"/>
          <w:szCs w:val="24"/>
        </w:rPr>
        <w:t>2.6</w:t>
      </w:r>
      <w:r>
        <w:rPr>
          <w:rFonts w:eastAsia="Calibri"/>
          <w:szCs w:val="24"/>
        </w:rPr>
        <w:t>. E 212</w:t>
        <w:tab/>
        <w:t>kalio benzoatas;</w:t>
      </w:r>
    </w:p>
    <w:p>
      <w:pPr>
        <w:ind w:firstLine="851"/>
        <w:rPr>
          <w:rFonts w:eastAsia="Calibri"/>
          <w:szCs w:val="24"/>
        </w:rPr>
      </w:pPr>
      <w:r>
        <w:rPr>
          <w:rFonts w:eastAsia="Calibri"/>
          <w:szCs w:val="24"/>
        </w:rPr>
        <w:t>2.7</w:t>
      </w:r>
      <w:r>
        <w:rPr>
          <w:rFonts w:eastAsia="Calibri"/>
          <w:szCs w:val="24"/>
        </w:rPr>
        <w:t>. E 213</w:t>
        <w:tab/>
        <w:t>kalcio benzoatas;</w:t>
      </w:r>
    </w:p>
    <w:p>
      <w:pPr>
        <w:ind w:firstLine="851"/>
        <w:rPr>
          <w:rFonts w:eastAsia="Calibri"/>
          <w:szCs w:val="24"/>
        </w:rPr>
      </w:pPr>
      <w:r>
        <w:rPr>
          <w:rFonts w:eastAsia="Calibri"/>
          <w:szCs w:val="24"/>
        </w:rPr>
        <w:t>2.8</w:t>
      </w:r>
      <w:r>
        <w:rPr>
          <w:rFonts w:eastAsia="Calibri"/>
          <w:szCs w:val="24"/>
        </w:rPr>
        <w:t xml:space="preserve">. E 220‒228    sieros dioksidas ir sulfitai.</w:t>
      </w:r>
    </w:p>
    <w:p>
      <w:pPr>
        <w:rPr>
          <w:sz w:val="18"/>
          <w:szCs w:val="18"/>
        </w:rPr>
      </w:pPr>
    </w:p>
    <w:p>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ind w:firstLine="851"/>
        <w:rPr>
          <w:sz w:val="18"/>
          <w:szCs w:val="18"/>
        </w:rPr>
      </w:pPr>
    </w:p>
    <w:p>
      <w:pPr>
        <w:ind w:firstLine="851"/>
        <w:rPr>
          <w:rFonts w:eastAsia="Calibri"/>
          <w:szCs w:val="24"/>
        </w:rPr>
      </w:pPr>
      <w:r>
        <w:rPr>
          <w:rFonts w:eastAsia="Calibri"/>
          <w:szCs w:val="24"/>
        </w:rPr>
        <w:t>3.1</w:t>
      </w:r>
      <w:r>
        <w:rPr>
          <w:rFonts w:eastAsia="Calibri"/>
          <w:szCs w:val="24"/>
        </w:rPr>
        <w:t xml:space="preserve">.   E 950</w:t>
        <w:tab/>
        <w:t>acesulfamas K;</w:t>
      </w:r>
    </w:p>
    <w:p>
      <w:pPr>
        <w:ind w:firstLine="851"/>
        <w:rPr>
          <w:rFonts w:eastAsia="Calibri"/>
          <w:szCs w:val="24"/>
        </w:rPr>
      </w:pPr>
      <w:r>
        <w:rPr>
          <w:rFonts w:eastAsia="Calibri"/>
          <w:szCs w:val="24"/>
        </w:rPr>
        <w:t>3.2</w:t>
      </w:r>
      <w:r>
        <w:rPr>
          <w:rFonts w:eastAsia="Calibri"/>
          <w:szCs w:val="24"/>
        </w:rPr>
        <w:t xml:space="preserve">.   E 951</w:t>
        <w:tab/>
        <w:t>aspartamas;</w:t>
      </w:r>
    </w:p>
    <w:p>
      <w:pPr>
        <w:ind w:firstLine="851"/>
        <w:rPr>
          <w:rFonts w:eastAsia="Calibri"/>
          <w:szCs w:val="24"/>
        </w:rPr>
      </w:pPr>
      <w:r>
        <w:rPr>
          <w:rFonts w:eastAsia="Calibri"/>
          <w:szCs w:val="24"/>
        </w:rPr>
        <w:t>3.3</w:t>
      </w:r>
      <w:r>
        <w:rPr>
          <w:rFonts w:eastAsia="Calibri"/>
          <w:szCs w:val="24"/>
        </w:rPr>
        <w:t xml:space="preserve">.   E 952</w:t>
        <w:tab/>
        <w:t>ciklamatai;</w:t>
      </w:r>
    </w:p>
    <w:p>
      <w:pPr>
        <w:ind w:firstLine="851"/>
        <w:rPr>
          <w:rFonts w:eastAsia="Calibri"/>
          <w:szCs w:val="24"/>
        </w:rPr>
      </w:pPr>
      <w:r>
        <w:rPr>
          <w:rFonts w:eastAsia="Calibri"/>
          <w:szCs w:val="24"/>
        </w:rPr>
        <w:t>3.4</w:t>
      </w:r>
      <w:r>
        <w:rPr>
          <w:rFonts w:eastAsia="Calibri"/>
          <w:szCs w:val="24"/>
        </w:rPr>
        <w:t xml:space="preserve">.   E 954</w:t>
        <w:tab/>
        <w:t>sacharinai;</w:t>
      </w:r>
    </w:p>
    <w:p>
      <w:pPr>
        <w:ind w:firstLine="851"/>
        <w:rPr>
          <w:rFonts w:eastAsia="Calibri"/>
          <w:szCs w:val="24"/>
        </w:rPr>
      </w:pPr>
      <w:r>
        <w:rPr>
          <w:rFonts w:eastAsia="Calibri"/>
          <w:szCs w:val="24"/>
        </w:rPr>
        <w:t>3.5</w:t>
      </w:r>
      <w:r>
        <w:rPr>
          <w:rFonts w:eastAsia="Calibri"/>
          <w:szCs w:val="24"/>
        </w:rPr>
        <w:t xml:space="preserve">.   E 955</w:t>
        <w:tab/>
        <w:t>sukralozė;</w:t>
      </w:r>
    </w:p>
    <w:p>
      <w:pPr>
        <w:ind w:firstLine="851"/>
        <w:rPr>
          <w:rFonts w:eastAsia="Calibri"/>
          <w:szCs w:val="24"/>
        </w:rPr>
      </w:pPr>
      <w:r>
        <w:rPr>
          <w:rFonts w:eastAsia="Calibri"/>
          <w:szCs w:val="24"/>
        </w:rPr>
        <w:t>3.6</w:t>
      </w:r>
      <w:r>
        <w:rPr>
          <w:rFonts w:eastAsia="Calibri"/>
          <w:szCs w:val="24"/>
        </w:rPr>
        <w:t xml:space="preserve">.   E 957</w:t>
        <w:tab/>
        <w:t>taumatinas;</w:t>
      </w:r>
    </w:p>
    <w:p>
      <w:pPr>
        <w:ind w:firstLine="851"/>
        <w:rPr>
          <w:rFonts w:eastAsia="Calibri"/>
          <w:szCs w:val="24"/>
        </w:rPr>
      </w:pPr>
      <w:r>
        <w:rPr>
          <w:rFonts w:eastAsia="Calibri"/>
          <w:szCs w:val="24"/>
        </w:rPr>
        <w:t>3.7</w:t>
      </w:r>
      <w:r>
        <w:rPr>
          <w:rFonts w:eastAsia="Calibri"/>
          <w:szCs w:val="24"/>
        </w:rPr>
        <w:t xml:space="preserve">.   E 959</w:t>
        <w:tab/>
        <w:t>neohesperidinas DC;</w:t>
      </w:r>
    </w:p>
    <w:p>
      <w:pPr>
        <w:ind w:firstLine="851"/>
        <w:rPr>
          <w:rFonts w:eastAsia="Calibri"/>
          <w:szCs w:val="24"/>
        </w:rPr>
      </w:pPr>
      <w:r>
        <w:rPr>
          <w:rFonts w:eastAsia="Calibri"/>
          <w:szCs w:val="24"/>
        </w:rPr>
        <w:t>3.8</w:t>
      </w:r>
      <w:r>
        <w:rPr>
          <w:rFonts w:eastAsia="Calibri"/>
          <w:szCs w:val="24"/>
        </w:rPr>
        <w:t xml:space="preserve">.   E 960           steviolio glikozidai;</w:t>
      </w:r>
    </w:p>
    <w:p>
      <w:pPr>
        <w:ind w:firstLine="851"/>
        <w:rPr>
          <w:rFonts w:eastAsia="Calibri"/>
          <w:szCs w:val="24"/>
        </w:rPr>
      </w:pPr>
      <w:r>
        <w:rPr>
          <w:rFonts w:eastAsia="Calibri"/>
          <w:szCs w:val="24"/>
        </w:rPr>
        <w:t>3.9</w:t>
      </w:r>
      <w:r>
        <w:rPr>
          <w:rFonts w:eastAsia="Calibri"/>
          <w:szCs w:val="24"/>
        </w:rPr>
        <w:t xml:space="preserve">.   E 961           neotamas;</w:t>
      </w:r>
    </w:p>
    <w:p>
      <w:pPr>
        <w:ind w:firstLine="851"/>
        <w:rPr>
          <w:rFonts w:eastAsia="Calibri"/>
          <w:szCs w:val="24"/>
        </w:rPr>
      </w:pPr>
      <w:r>
        <w:rPr>
          <w:szCs w:val="24"/>
        </w:rPr>
        <w:t>3.10</w:t>
      </w:r>
      <w:r>
        <w:rPr>
          <w:szCs w:val="24"/>
        </w:rPr>
        <w:t xml:space="preserve">. E </w:t>
      </w:r>
      <w:r>
        <w:rPr>
          <w:rFonts w:eastAsia="Calibri"/>
          <w:szCs w:val="24"/>
        </w:rPr>
        <w:t>962</w:t>
        <w:tab/>
        <w:t>aspartamo-acesulfamo druska;</w:t>
      </w:r>
    </w:p>
    <w:p>
      <w:pPr>
        <w:ind w:firstLine="851"/>
        <w:rPr>
          <w:rFonts w:eastAsia="Calibri"/>
          <w:szCs w:val="24"/>
        </w:rPr>
      </w:pPr>
      <w:r>
        <w:rPr>
          <w:rFonts w:eastAsia="Calibri"/>
          <w:szCs w:val="24"/>
        </w:rPr>
        <w:t>3.11</w:t>
      </w:r>
      <w:r>
        <w:rPr>
          <w:rFonts w:eastAsia="Calibri"/>
          <w:szCs w:val="24"/>
        </w:rPr>
        <w:t xml:space="preserve">. E 969          advantamas.</w:t>
      </w:r>
    </w:p>
    <w:p>
      <w:pPr>
        <w:rPr>
          <w:sz w:val="18"/>
          <w:szCs w:val="18"/>
        </w:rPr>
      </w:pPr>
    </w:p>
    <w:p>
      <w:pPr>
        <w:ind w:firstLine="851"/>
        <w:rPr>
          <w:rFonts w:eastAsia="Calibri"/>
          <w:szCs w:val="24"/>
        </w:rPr>
      </w:pPr>
      <w:r>
        <w:rPr>
          <w:rFonts w:eastAsia="Calibri"/>
          <w:b/>
          <w:szCs w:val="24"/>
        </w:rPr>
        <w:t>4</w:t>
      </w:r>
      <w:r>
        <w:rPr>
          <w:rFonts w:eastAsia="Calibri"/>
          <w:b/>
          <w:szCs w:val="24"/>
        </w:rPr>
        <w:t xml:space="preserve">. Aromato ir skonio stiprikliai: </w:t>
      </w:r>
    </w:p>
    <w:p>
      <w:pPr>
        <w:ind w:firstLine="851"/>
        <w:rPr>
          <w:sz w:val="18"/>
          <w:szCs w:val="18"/>
        </w:rPr>
      </w:pPr>
    </w:p>
    <w:p>
      <w:pPr>
        <w:ind w:firstLine="851"/>
        <w:jc w:val="both"/>
        <w:rPr>
          <w:szCs w:val="24"/>
        </w:rPr>
      </w:pPr>
      <w:r>
        <w:rPr>
          <w:szCs w:val="24"/>
        </w:rPr>
        <w:t>4.1</w:t>
      </w:r>
      <w:r>
        <w:rPr>
          <w:szCs w:val="24"/>
        </w:rPr>
        <w:t xml:space="preserve">.   E 620</w:t>
        <w:tab/>
        <w:t>glutamo rūgštis;</w:t>
      </w:r>
    </w:p>
    <w:p>
      <w:pPr>
        <w:ind w:firstLine="851"/>
        <w:jc w:val="both"/>
        <w:rPr>
          <w:szCs w:val="24"/>
        </w:rPr>
      </w:pPr>
      <w:r>
        <w:rPr>
          <w:szCs w:val="24"/>
        </w:rPr>
        <w:t>4.2</w:t>
      </w:r>
      <w:r>
        <w:rPr>
          <w:szCs w:val="24"/>
        </w:rPr>
        <w:t xml:space="preserve">.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ind w:firstLine="851"/>
        <w:rPr>
          <w:rFonts w:eastAsia="Calibri"/>
          <w:szCs w:val="24"/>
        </w:rPr>
      </w:pPr>
      <w:r>
        <w:rPr>
          <w:rFonts w:eastAsia="Calibri"/>
          <w:szCs w:val="24"/>
        </w:rPr>
        <w:t>4.6</w:t>
      </w:r>
      <w:r>
        <w:rPr>
          <w:rFonts w:eastAsia="Calibri"/>
          <w:szCs w:val="24"/>
        </w:rPr>
        <w:t xml:space="preserve">.   E 625</w:t>
        <w:tab/>
        <w:t>magnio glutamatas;</w:t>
      </w: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ind w:firstLine="851"/>
        <w:rPr>
          <w:rFonts w:eastAsia="Calibri"/>
          <w:szCs w:val="24"/>
        </w:rPr>
      </w:pPr>
      <w:r>
        <w:rPr>
          <w:rFonts w:eastAsia="Calibri"/>
          <w:szCs w:val="24"/>
        </w:rPr>
        <w:t>4.16</w:t>
      </w:r>
      <w:r>
        <w:rPr>
          <w:rFonts w:eastAsia="Calibri"/>
          <w:szCs w:val="24"/>
        </w:rPr>
        <w:t>. E 635</w:t>
        <w:tab/>
        <w:t>dinatrio5´-ribonukleotidai.</w:t>
      </w:r>
    </w:p>
    <w:p>
      <w:pPr>
        <w:ind w:firstLine="851"/>
        <w:rPr>
          <w:sz w:val="18"/>
          <w:szCs w:val="18"/>
        </w:rPr>
      </w:pPr>
    </w:p>
    <w:p>
      <w:pPr>
        <w:spacing w:line="276" w:lineRule="auto"/>
        <w:rPr>
          <w:rFonts w:ascii="Calibri" w:eastAsia="Calibri" w:hAnsi="Calibri"/>
          <w:sz w:val="22"/>
          <w:szCs w:val="22"/>
        </w:rPr>
      </w:pPr>
    </w:p>
    <w:p>
      <w:pPr>
        <w:spacing w:line="276" w:lineRule="auto"/>
        <w:jc w:val="center"/>
      </w:pPr>
      <w:r>
        <w:rPr>
          <w:rFonts w:eastAsia="Calibri"/>
          <w:szCs w:val="24"/>
        </w:rPr>
        <w:t>__________________</w:t>
      </w:r>
    </w:p>
    <w:p>
      <w:pPr>
        <w:ind w:firstLine="4926"/>
        <w:sectPr>
          <w:pgSz w:w="11907" w:h="16840" w:code="9"/>
          <w:pgMar w:top="1134" w:right="567" w:bottom="1134" w:left="1701" w:header="567" w:footer="794" w:gutter="0"/>
          <w:pgNumType w:start="1"/>
          <w:cols w:space="1296"/>
          <w:titlePg/>
          <w:docGrid w:linePitch="360"/>
        </w:sectPr>
      </w:pPr>
    </w:p>
    <w:p>
      <w:pPr>
        <w:ind w:firstLine="3544"/>
        <w:rPr>
          <w:rFonts w:eastAsia="Calibri"/>
          <w:szCs w:val="24"/>
        </w:rPr>
      </w:pPr>
      <w:r>
        <w:rPr>
          <w:rFonts w:eastAsia="Calibri"/>
          <w:szCs w:val="24"/>
        </w:rPr>
        <w:t>Vaikų maitinimo organizavimo tvarkos aprašo</w:t>
      </w:r>
    </w:p>
    <w:p>
      <w:pPr>
        <w:ind w:firstLine="3544"/>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VAIKAMS MAITINTI TIEKIAMŲ MAISTO PRODUKTŲ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keepNext/>
        <w:overflowPunct w:val="0"/>
        <w:ind w:firstLine="851"/>
        <w:jc w:val="both"/>
        <w:textAlignment w:val="baseline"/>
      </w:pPr>
      <w:r>
        <w:rPr>
          <w:szCs w:val="24"/>
        </w:rPr>
        <w:t>3</w:t>
      </w:r>
      <w:r>
        <w:rPr>
          <w:szCs w:val="24"/>
        </w:rPr>
        <w:t xml:space="preserve">.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ind w:firstLine="851"/>
        <w:jc w:val="both"/>
        <w:rPr>
          <w:szCs w:val="24"/>
          <w:lang w:eastAsia="lt-LT"/>
        </w:rPr>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jc w:val="both"/>
        <w:rPr>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p>
    <w:p>
      <w:pPr>
        <w:widowControl w:val="0"/>
        <w:tabs>
          <w:tab w:val="left" w:pos="1304"/>
          <w:tab w:val="left" w:pos="1457"/>
          <w:tab w:val="left" w:pos="1604"/>
          <w:tab w:val="left" w:pos="1757"/>
        </w:tabs>
        <w:ind w:left="4535"/>
        <w:rPr>
          <w:b/>
        </w:rPr>
      </w:pPr>
      <w:r>
        <w:t>5</w:t>
      </w:r>
      <w:r>
        <w:t xml:space="preserve"> priedas</w:t>
      </w:r>
    </w:p>
    <w:p>
      <w:pPr>
        <w:widowControl w:val="0"/>
        <w:rPr>
          <w:color w:val="000000"/>
        </w:rPr>
      </w:pPr>
    </w:p>
    <w:p>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tc>
          <w:tcPr>
            <w:tcW w:w="67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 xml:space="preserve">Skaidulinių </w:t>
            </w:r>
          </w:p>
          <w:p>
            <w:pPr>
              <w:widowControl w:val="0"/>
              <w:jc w:val="center"/>
              <w:rPr>
                <w:szCs w:val="24"/>
              </w:rPr>
            </w:pPr>
            <w:r>
              <w:rPr>
                <w:szCs w:val="24"/>
              </w:rPr>
              <w:t>medžiagų (g) ne mažesnis nei/100 g</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Pieno gaminiai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Jogurtai, varškės gaminiai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Grūdinių augalų produktai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1,2</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Pusryčių dribsniai ir javainiai</w:t>
            </w:r>
          </w:p>
          <w:p>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Sultys (vaisių ir (ar) daržovių)</w:t>
            </w:r>
          </w:p>
          <w:p>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bl>
    <w:p>
      <w:pPr>
        <w:widowControl w:val="0"/>
        <w:jc w:val="both"/>
        <w:rPr>
          <w:color w:val="000000"/>
          <w:sz w:val="8"/>
          <w:szCs w:val="8"/>
        </w:rPr>
      </w:pPr>
    </w:p>
    <w:p>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widowControl w:val="0"/>
        <w:jc w:val="both"/>
        <w:rPr>
          <w:color w:val="000000"/>
          <w:vertAlign w:val="superscript"/>
        </w:rPr>
      </w:pPr>
    </w:p>
    <w:p>
      <w:pPr>
        <w:widowControl w:val="0"/>
        <w:jc w:val="center"/>
      </w:pPr>
      <w:r>
        <w:rPr>
          <w:color w:val="000000"/>
        </w:rPr>
        <w:t>_________________</w:t>
      </w:r>
    </w:p>
    <w:p>
      <w:pPr>
        <w:ind w:left="3888" w:firstLine="992"/>
        <w:sectPr>
          <w:pgSz w:w="11907" w:h="16840" w:code="9"/>
          <w:pgMar w:top="1134" w:right="567" w:bottom="1134" w:left="1701" w:header="567" w:footer="794" w:gutter="0"/>
          <w:pgNumType w:start="1"/>
          <w:cols w:space="1296"/>
          <w:titlePg/>
          <w:docGrid w:linePitch="360"/>
        </w:sectPr>
      </w:pPr>
    </w:p>
    <w:p>
      <w:pPr>
        <w:ind w:firstLine="3261"/>
        <w:rPr>
          <w:rFonts w:eastAsia="Calibri"/>
          <w:szCs w:val="24"/>
        </w:rPr>
      </w:pPr>
      <w:r>
        <w:rPr>
          <w:rFonts w:eastAsia="Calibri"/>
          <w:szCs w:val="24"/>
        </w:rPr>
        <w:t>Vaikų maitinimo organizavimo tvarkos aprašo</w:t>
      </w:r>
    </w:p>
    <w:p>
      <w:pPr>
        <w:ind w:firstLine="3261"/>
        <w:rPr>
          <w:rFonts w:eastAsia="Calibri"/>
          <w:szCs w:val="24"/>
        </w:rPr>
      </w:pPr>
      <w:r>
        <w:rPr>
          <w:rFonts w:eastAsia="Calibri"/>
          <w:szCs w:val="24"/>
        </w:rPr>
        <w:t>6</w:t>
      </w:r>
      <w:r>
        <w:rPr>
          <w:rFonts w:eastAsia="Calibri"/>
          <w:szCs w:val="24"/>
        </w:rPr>
        <w:t xml:space="preserve"> priedas</w:t>
      </w:r>
    </w:p>
    <w:p>
      <w:pPr>
        <w:rPr>
          <w:szCs w:val="24"/>
        </w:rPr>
      </w:pPr>
    </w:p>
    <w:p>
      <w:pPr>
        <w:ind w:firstLine="357"/>
        <w:jc w:val="center"/>
        <w:rPr>
          <w:b/>
          <w:szCs w:val="22"/>
        </w:rPr>
      </w:pPr>
      <w:r>
        <w:rPr>
          <w:b/>
        </w:rPr>
        <w:t>MAISTO PRODUKTŲ IR PATIEKALŲ VAIKAMS MAITINTI PATIEKIMAS</w:t>
      </w:r>
    </w:p>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Maisto produktų patiekimas</w:t>
            </w:r>
            <w:r>
              <w:rPr>
                <w:szCs w:val="24"/>
                <w:vertAlign w:val="superscript"/>
              </w:rPr>
              <w:t>1</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1.1. Pirmenybė teikiama šviežioms, sezoninėms daržovėms. </w:t>
            </w:r>
          </w:p>
          <w:p>
            <w:pPr>
              <w:rPr>
                <w:szCs w:val="24"/>
              </w:rPr>
            </w:pPr>
            <w:r>
              <w:rPr>
                <w:szCs w:val="24"/>
              </w:rPr>
              <w:t>1.2. Tiekiamos kuo įvairesnės daržovės.</w:t>
            </w:r>
          </w:p>
          <w:p>
            <w:pPr>
              <w:rPr>
                <w:szCs w:val="24"/>
              </w:rPr>
            </w:pPr>
            <w:r>
              <w:rPr>
                <w:szCs w:val="24"/>
              </w:rPr>
              <w:t xml:space="preserve">1.3. Šviežių daržovių salotos tiekiamos su aliejaus ar nesaldinto jogurto padažu. </w:t>
            </w:r>
          </w:p>
          <w:p>
            <w:pPr>
              <w:rPr>
                <w:szCs w:val="24"/>
              </w:rPr>
            </w:pPr>
            <w:r>
              <w:rPr>
                <w:szCs w:val="24"/>
              </w:rPr>
              <w:t>1.4. Termiškai apdorotos daržovės (šviežios arba šaldytos) tiekiamos kaip garnyras, sriuba, apkepas ir t. t.).</w:t>
            </w:r>
          </w:p>
          <w:p>
            <w:pPr>
              <w:rPr>
                <w:szCs w:val="24"/>
              </w:rPr>
            </w:pPr>
            <w:r>
              <w:rPr>
                <w:szCs w:val="24"/>
              </w:rPr>
              <w:t>1.5. Per dieną vieną daržovių porciją galima pakeisti 100‒200 ml daržovių sulčių.</w:t>
            </w:r>
          </w:p>
          <w:p>
            <w:pPr>
              <w:rPr>
                <w:szCs w:val="24"/>
              </w:rPr>
            </w:pPr>
            <w:r>
              <w:rPr>
                <w:szCs w:val="24"/>
              </w:rPr>
              <w:t>1.6. Vaikams patiekiamos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2.1. Pirmenybė teikiama šviežiems, sezoniniams vaisiams ir uogoms. </w:t>
            </w:r>
          </w:p>
          <w:p>
            <w:pPr>
              <w:rPr>
                <w:szCs w:val="24"/>
              </w:rPr>
            </w:pPr>
            <w:r>
              <w:rPr>
                <w:szCs w:val="24"/>
              </w:rPr>
              <w:t>2.2. Per savaitę vieną vaisių porciją galima pakeisti 100‒200 ml vaisių sulčių.</w:t>
            </w:r>
          </w:p>
          <w:p>
            <w:pPr>
              <w:rPr>
                <w:szCs w:val="24"/>
              </w:rPr>
            </w:pPr>
            <w:r>
              <w:rPr>
                <w:szCs w:val="24"/>
              </w:rPr>
              <w:t>2.3. Vaikams patiekiami taip, kad galėtų sukramtyti.</w:t>
            </w:r>
          </w:p>
          <w:p>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trPr>
          <w:trHeight w:val="706"/>
        </w:trP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3.1. Jei bulvių patiekalai tiekiami su padažais, jie turi būti neriebūs (nesaldinto jogurto, pomidorų ir pan.).</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4.1. Pirmenybė teikiama viso grūdo arba iš dalies viso grūdo produktams.</w:t>
            </w:r>
          </w:p>
          <w:p>
            <w:pPr>
              <w:rPr>
                <w:szCs w:val="24"/>
              </w:rPr>
            </w:pPr>
            <w:r>
              <w:rPr>
                <w:szCs w:val="24"/>
              </w:rPr>
              <w:t xml:space="preserve">4.2. Tiekiamos kuo įvairesnės kruopos ar kruopų dribsniai (avižų, grikių, ryžių, kvietinės, miežinės, perlinės, kukurūzų, sorų ir kt.). </w:t>
            </w:r>
          </w:p>
          <w:p>
            <w:pPr>
              <w:rPr>
                <w:szCs w:val="24"/>
              </w:rPr>
            </w:pPr>
            <w:r>
              <w:rPr>
                <w:color w:val="000000"/>
                <w:szCs w:val="24"/>
              </w:rPr>
              <w:t>4.3. Pirmenybė teikiama ruginei duonai (ne mažiau kaip 30 proc. sausos produkto masės sudaro rugiai).</w:t>
            </w:r>
          </w:p>
          <w:p>
            <w:pPr>
              <w:rPr>
                <w:szCs w:val="24"/>
              </w:rPr>
            </w:pPr>
            <w:r>
              <w:rPr>
                <w:szCs w:val="24"/>
              </w:rPr>
              <w:t>4.4. Apkepų, blynų, bandelių tešlai aukščiausios rūšies miltus rekomenduojama maišyti su viso grūdo miltais, sėlenomis.</w:t>
            </w:r>
          </w:p>
          <w:p>
            <w:pPr>
              <w:rPr>
                <w:color w:val="000000"/>
                <w:szCs w:val="24"/>
              </w:rPr>
            </w:pPr>
            <w:r>
              <w:rPr>
                <w:color w:val="000000"/>
                <w:szCs w:val="24"/>
              </w:rPr>
              <w:t>4.5. Makaronai: pirmenybė teikiama pagamintiems iš kietųjų kviečių miltų arba viso grūdo miltų.</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5.1. Pirmenybė teikiama šviežiai, atvėsintai mėsai: paukštienai, triušienai, veršienai, jautienai, kiaulienai, avienai.</w:t>
            </w:r>
          </w:p>
          <w:p>
            <w:pPr>
              <w:rPr>
                <w:szCs w:val="24"/>
              </w:rPr>
            </w:pPr>
            <w:r>
              <w:rPr>
                <w:szCs w:val="24"/>
              </w:rPr>
              <w:t>5.2. Tiekiama liesa mėsa.</w:t>
            </w:r>
          </w:p>
          <w:p>
            <w:pPr>
              <w:rPr>
                <w:szCs w:val="24"/>
              </w:rPr>
            </w:pPr>
            <w:r>
              <w:rPr>
                <w:szCs w:val="24"/>
              </w:rPr>
              <w:t>5.3. Paukštiena patiekalų gamybai naudojama be odos.</w:t>
            </w:r>
          </w:p>
          <w:p>
            <w:pPr>
              <w:rPr>
                <w:szCs w:val="24"/>
              </w:rPr>
            </w:pPr>
            <w:r>
              <w:rPr>
                <w:szCs w:val="24"/>
              </w:rPr>
              <w:t>5.4. Mėsos gaminiai tiekiami tik aukščiausios rūšies.</w:t>
            </w:r>
          </w:p>
          <w:p>
            <w:pPr>
              <w:rPr>
                <w:szCs w:val="24"/>
              </w:rPr>
            </w:pPr>
            <w:r>
              <w:rPr>
                <w:szCs w:val="24"/>
              </w:rPr>
              <w:t>5.5. Rūkyti mėsos gaminiai tiekiami ne jaunesniems kaip 3 metų amžiaus vaikams.</w:t>
            </w:r>
          </w:p>
          <w:p>
            <w:pPr>
              <w:rPr>
                <w:szCs w:val="24"/>
              </w:rPr>
            </w:pPr>
            <w:r>
              <w:rPr>
                <w:szCs w:val="24"/>
              </w:rPr>
              <w:t>5.6. Mėsa patiekiama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6.1. Pakaitomis tiekiama riebi ir liesa jūrinė arba gėlo vandens žuvis.</w:t>
            </w:r>
          </w:p>
          <w:p>
            <w:pPr>
              <w:rPr>
                <w:szCs w:val="24"/>
              </w:rPr>
            </w:pPr>
            <w:r>
              <w:rPr>
                <w:szCs w:val="24"/>
              </w:rPr>
              <w:t>6.2. Jei yra rizika, kad žuvyje liks smulkių ašakų, ji patiekiama malta.</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7.1. Kiaušiniai patiekiami virti arba gaminiuose.</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pPr>
              <w:rPr>
                <w:szCs w:val="24"/>
              </w:rPr>
            </w:pPr>
            <w:r>
              <w:rPr>
                <w:szCs w:val="24"/>
              </w:rPr>
              <w:t>8.2. Tiekiamas ne didesnio nei 2,5 proc. riebumo pasterizuotas pienas.</w:t>
            </w:r>
          </w:p>
          <w:p>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9.1. Ikimokyklinio amžiaus vaikams pirmenybė teikiama tiekiant trintus ankštinius ar ankštines daržoves.</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pPr>
              <w:rPr>
                <w:szCs w:val="24"/>
              </w:rPr>
            </w:pPr>
            <w:r>
              <w:rPr>
                <w:szCs w:val="24"/>
              </w:rPr>
              <w:t>10.2. Kepimui naudojamas kepti tinkantis aliejus.</w:t>
            </w:r>
          </w:p>
          <w:p>
            <w:pPr>
              <w:rPr>
                <w:szCs w:val="24"/>
              </w:rPr>
            </w:pPr>
            <w:r>
              <w:rPr>
                <w:szCs w:val="24"/>
              </w:rPr>
              <w:t>10.3. Gyvūniniai riebalai, kur įmanoma, keičiami aliejais.</w:t>
            </w:r>
          </w:p>
        </w:tc>
      </w:tr>
      <w:tr>
        <w:trPr>
          <w:trHeight w:val="1014"/>
        </w:trP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11.1. Tiekiami pagardinti patiekalus.</w:t>
            </w:r>
          </w:p>
          <w:p>
            <w:pPr>
              <w:rPr>
                <w:szCs w:val="24"/>
              </w:rPr>
            </w:pPr>
            <w:r>
              <w:rPr>
                <w:szCs w:val="24"/>
              </w:rPr>
              <w:t>11.2. Ikimokyklinio amžiaus vaikams tiekiami smulkinti.</w:t>
            </w:r>
          </w:p>
          <w:p>
            <w:pPr>
              <w:rPr>
                <w:szCs w:val="24"/>
              </w:rPr>
            </w:pPr>
            <w:r>
              <w:rPr>
                <w:szCs w:val="24"/>
              </w:rPr>
              <w:t>11.3. Džiovinti vaisiai tiekiami plauti karštu vandeniu.</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12.1. Pirmenybė teikiama žaliems lapiniams prieskoniams (petražolės, krapai, raudonėlis, bazilikas ir kt.).</w:t>
            </w:r>
          </w:p>
          <w:p>
            <w:pPr>
              <w:rPr>
                <w:szCs w:val="24"/>
              </w:rPr>
            </w:pPr>
            <w:r>
              <w:rPr>
                <w:szCs w:val="24"/>
              </w:rPr>
              <w:t xml:space="preserve">12.2. Džiovintos žolelės tiekiamos be pridėtinės valgomosios druskos ir maisto priedų. </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13.1. Pirmenybė teikiama geriamajam vandeniui. </w:t>
            </w:r>
          </w:p>
          <w:p>
            <w:pPr>
              <w:rPr>
                <w:b/>
                <w:szCs w:val="24"/>
              </w:rPr>
            </w:pPr>
            <w:r>
              <w:rPr>
                <w:szCs w:val="24"/>
              </w:rPr>
              <w:t>13.2. Su patiekalais sultys ir gėrimai, kuriuose yra pridėtinių cukrų, netiekiami.</w:t>
            </w:r>
            <w:r>
              <w:rPr>
                <w:b/>
                <w:szCs w:val="24"/>
              </w:rPr>
              <w:t xml:space="preserve">  </w:t>
            </w:r>
          </w:p>
        </w:tc>
      </w:tr>
      <w:tr>
        <w:trPr>
          <w:trHeight w:val="414"/>
        </w:trPr>
        <w:tc>
          <w:tcPr>
            <w:tcW w:w="2550" w:type="dxa"/>
            <w:tcBorders>
              <w:top w:val="single" w:sz="4" w:space="0" w:color="auto"/>
              <w:left w:val="single" w:sz="4" w:space="0" w:color="auto"/>
              <w:bottom w:val="single" w:sz="4" w:space="0" w:color="auto"/>
              <w:right w:val="single" w:sz="4" w:space="0" w:color="auto"/>
            </w:tcBorders>
            <w:hideMark/>
          </w:tcPr>
          <w:p>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14.1. Viso grūdo pyragai, bandelės, desertai vaisių, pieno produktų pagrindu, </w:t>
            </w:r>
            <w:r>
              <w:rPr>
                <w:color w:val="000000"/>
                <w:szCs w:val="24"/>
              </w:rPr>
              <w:t>pudingai.</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15.1. Jei tiekiamos su kitu maistu, patiekiamos nedideliais kiekiais (100–150 ml).</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pPr>
              <w:rPr>
                <w:szCs w:val="24"/>
                <w:highlight w:val="yellow"/>
              </w:rPr>
            </w:pPr>
            <w:r>
              <w:rPr>
                <w:szCs w:val="24"/>
              </w:rPr>
              <w:t>16.1. Arbatžolių ir (ar) žolelių arbata ruošiama 1g/1l koncentracijos.</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17.1. Medus, grybai tiekiami ne jaunesniems kaip 3 metų amžiaus vaikams.</w:t>
            </w:r>
          </w:p>
        </w:tc>
      </w:tr>
    </w:tbl>
    <w:p>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pPr>
        <w:rPr>
          <w:sz w:val="10"/>
          <w:szCs w:val="10"/>
        </w:rPr>
      </w:pPr>
    </w:p>
    <w:p>
      <w:pPr>
        <w:jc w:val="center"/>
      </w:pPr>
      <w:r>
        <w:rPr>
          <w:sz w:val="8"/>
          <w:szCs w:val="8"/>
        </w:rPr>
        <w:t>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ind w:left="3888" w:firstLine="992"/>
        <w:sectPr>
          <w:pgSz w:w="11907" w:h="16840" w:code="9"/>
          <w:pgMar w:top="1134" w:right="567" w:bottom="1134" w:left="1701" w:header="567" w:footer="794" w:gutter="0"/>
          <w:pgNumType w:start="1"/>
          <w:cols w:space="1296"/>
          <w:titlePg/>
          <w:docGrid w:linePitch="360"/>
        </w:sectPr>
      </w:pPr>
    </w:p>
    <w:p>
      <w:pPr>
        <w:ind w:firstLine="4536"/>
        <w:rPr>
          <w:rFonts w:eastAsia="Calibri"/>
          <w:szCs w:val="24"/>
        </w:rPr>
      </w:pPr>
      <w:r>
        <w:rPr>
          <w:rFonts w:eastAsia="Calibri"/>
          <w:szCs w:val="24"/>
        </w:rPr>
        <w:t>Vaikų maitinimo organizavimo tvarkos aprašo</w:t>
      </w:r>
    </w:p>
    <w:p>
      <w:pPr>
        <w:ind w:firstLine="4536"/>
        <w:rPr>
          <w:rFonts w:eastAsia="Calibri"/>
          <w:szCs w:val="24"/>
        </w:rPr>
      </w:pPr>
      <w:r>
        <w:rPr>
          <w:rFonts w:eastAsia="Calibri"/>
          <w:szCs w:val="24"/>
        </w:rPr>
        <w:t>7</w:t>
      </w:r>
      <w:r>
        <w:rPr>
          <w:rFonts w:eastAsia="Calibri"/>
          <w:szCs w:val="24"/>
        </w:rPr>
        <w:t xml:space="preserve"> priedas</w:t>
      </w:r>
    </w:p>
    <w:p>
      <w:pPr>
        <w:ind w:left="3888"/>
        <w:rPr>
          <w:rFonts w:eastAsia="Calibri"/>
          <w:szCs w:val="24"/>
        </w:rPr>
      </w:pPr>
    </w:p>
    <w:p>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Vienas arba du maitinimai per dieną</w:t>
            </w:r>
          </w:p>
        </w:tc>
      </w:tr>
      <w:tr>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r>
      <w:tr>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kartus/sav.</w:t>
            </w:r>
          </w:p>
        </w:tc>
      </w:tr>
      <w:tr>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12. Makaronai ir jų patiekalai</w:t>
            </w:r>
          </w:p>
          <w:p>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rūšys/d.</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r>
      <w:tr>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r>
      <w:tr>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bl>
    <w:p>
      <w:pPr>
        <w:jc w:val="both"/>
        <w:rPr>
          <w:szCs w:val="24"/>
          <w:vertAlign w:val="superscript"/>
        </w:rPr>
      </w:pPr>
      <w:r>
        <w:rPr>
          <w:szCs w:val="24"/>
          <w:vertAlign w:val="superscript"/>
        </w:rPr>
        <w:t xml:space="preserve">1 </w:t>
      </w:r>
      <w:r>
        <w:rPr>
          <w:szCs w:val="24"/>
        </w:rPr>
        <w:t>Sudarant specializuoto sporto ugdymo mokyklų valgiaraščius maisto produktų ir patiekalų patiekimo dažnumo reikalavimai netaikomi. Gyvūninių maisto produktų ir patiekalų patiekimo dažnumo reikalavimai netaikomi sudarant vegetarinio maitinimo valgiaraščius.</w:t>
      </w:r>
    </w:p>
    <w:p>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pPr>
        <w:rPr>
          <w:szCs w:val="22"/>
          <w:vertAlign w:val="superscript"/>
        </w:rPr>
      </w:pPr>
    </w:p>
    <w:p>
      <w:pPr>
        <w:jc w:val="center"/>
      </w:pPr>
      <w:r>
        <w:rPr>
          <w:vertAlign w:val="superscrip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c0e220f57e11e4927fda1d051299fb">
        <w:r w:rsidRPr="00532B9F">
          <w:rPr>
            <w:rFonts w:ascii="Times New Roman" w:eastAsia="MS Mincho" w:hAnsi="Times New Roman"/>
            <w:sz w:val="20"/>
            <w:iCs/>
            <w:color w:val="0000FF" w:themeColor="hyperlink"/>
            <w:u w:val="single"/>
          </w:rPr>
          <w:t>V-591</w:t>
        </w:r>
      </w:fldSimple>
      <w:r>
        <w:rPr>
          <w:rFonts w:ascii="Times New Roman" w:eastAsia="MS Mincho" w:hAnsi="Times New Roman"/>
          <w:sz w:val="20"/>
          <w:iCs/>
        </w:rPr>
        <w:t>,
2015-05-07,
paskelbta TAR 2015-05-08, i. k. 2015-07024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c0a5b04d5b11e5b0f2b883009b2d06">
        <w:r w:rsidRPr="00532B9F">
          <w:rPr>
            <w:rFonts w:ascii="Times New Roman" w:eastAsia="MS Mincho" w:hAnsi="Times New Roman"/>
            <w:sz w:val="20"/>
            <w:iCs/>
            <w:color w:val="0000FF" w:themeColor="hyperlink"/>
            <w:u w:val="single"/>
          </w:rPr>
          <w:t>V-998</w:t>
        </w:r>
      </w:fldSimple>
      <w:r>
        <w:rPr>
          <w:rFonts w:ascii="Times New Roman" w:eastAsia="MS Mincho" w:hAnsi="Times New Roman"/>
          <w:sz w:val="20"/>
          <w:iCs/>
        </w:rPr>
        <w:t>,
2015-08-27,
paskelbta TAR 2015-08-28, i. k. 2015-13116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d14e5046e311e8ade598b2394a491d">
        <w:r w:rsidRPr="00532B9F">
          <w:rPr>
            <w:rFonts w:ascii="Times New Roman" w:eastAsia="MS Mincho" w:hAnsi="Times New Roman"/>
            <w:sz w:val="20"/>
            <w:iCs/>
            <w:color w:val="0000FF" w:themeColor="hyperlink"/>
            <w:u w:val="single"/>
          </w:rPr>
          <w:t>V-394</w:t>
        </w:r>
      </w:fldSimple>
      <w:r>
        <w:rPr>
          <w:rFonts w:ascii="Times New Roman" w:eastAsia="MS Mincho" w:hAnsi="Times New Roman"/>
          <w:sz w:val="20"/>
          <w:iCs/>
        </w:rPr>
        <w:t>,
2018-04-10,
paskelbta TAR 2018-04-24, i. k. 2018-06471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af9d07aca11e8ae2bfd1913d66d57">
        <w:r w:rsidRPr="00532B9F">
          <w:rPr>
            <w:rFonts w:ascii="Times New Roman" w:eastAsia="MS Mincho" w:hAnsi="Times New Roman"/>
            <w:sz w:val="20"/>
            <w:iCs/>
            <w:color w:val="0000FF" w:themeColor="hyperlink"/>
            <w:u w:val="single"/>
          </w:rPr>
          <w:t>V-740</w:t>
        </w:r>
      </w:fldSimple>
      <w:r>
        <w:rPr>
          <w:rFonts w:ascii="Times New Roman" w:eastAsia="MS Mincho" w:hAnsi="Times New Roman"/>
          <w:sz w:val="20"/>
          <w:iCs/>
        </w:rPr>
        <w:t>,
2018-06-27,
paskelbta TAR 2018-06-28, i. k. 2018-10731                </w:t>
      </w:r>
    </w:p>
    <w:p>
      <w:pPr>
        <w:jc w:val="both"/>
        <w:rPr>
          <w:rFonts w:ascii="Times New Roman" w:hAnsi="Times New Roman"/>
        </w:rPr>
      </w:pPr>
      <w:r>
        <w:rPr>
          <w:rFonts w:ascii="Times New Roman" w:hAnsi="Times New Roman"/>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4520d20bd5f11e88f64a5ecc703f89b">
        <w:r w:rsidRPr="00532B9F">
          <w:rPr>
            <w:rFonts w:ascii="Times New Roman" w:eastAsia="MS Mincho" w:hAnsi="Times New Roman"/>
            <w:sz w:val="20"/>
            <w:iCs/>
            <w:color w:val="0000FF" w:themeColor="hyperlink"/>
            <w:u w:val="single"/>
          </w:rPr>
          <w:t>V-1030</w:t>
        </w:r>
      </w:fldSimple>
      <w:r>
        <w:rPr>
          <w:rFonts w:ascii="Times New Roman" w:eastAsia="MS Mincho" w:hAnsi="Times New Roman"/>
          <w:sz w:val="20"/>
          <w:iCs/>
        </w:rPr>
        <w:t>,
2018-09-20,
paskelbta TAR 2018-09-21, i. k. 2018-14822                </w:t>
      </w:r>
    </w:p>
    <w:p>
      <w:pPr>
        <w:jc w:val="both"/>
        <w:rPr>
          <w:rFonts w:ascii="Times New Roman" w:hAnsi="Times New Roman"/>
        </w:rPr>
      </w:pPr>
      <w:r>
        <w:rPr>
          <w:rFonts w:ascii="Times New Roman" w:hAnsi="Times New Roman"/>
          <w:sz w:val="20"/>
        </w:rPr>
        <w:t>Dėl Lietuvos Respublikos sveikatos apsaugos ministro 2011 m. lapkričio 11 d. įsakymo Nr. V-964 „Dėl Vaikų maitinimo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45E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34</TotalTime>
  <Pages>23</Pages>
  <Words>37563</Words>
  <Characters>21412</Characters>
  <Application>Microsoft Office Word</Application>
  <DocSecurity>0</DocSecurity>
  <Lines>178</Lines>
  <Paragraphs>117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58858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PETRAUSKAITĖ Girmantė</lastModifiedBy>
  <dcterms:modified xsi:type="dcterms:W3CDTF">2018-09-25T06:12:00Z</dcterms:modified>
  <revision>16</revision>
  <dc:title>LIETUVOS RESPUBLIKOS SVEIKATOS APSAUGOS MINISTRO</dc:title>
</coreProperties>
</file>