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AE" w:rsidRPr="00BB1F6D" w:rsidRDefault="008F26AE" w:rsidP="008F26AE">
      <w:pPr>
        <w:spacing w:after="0" w:line="240" w:lineRule="auto"/>
        <w:ind w:left="9639"/>
        <w:rPr>
          <w:rFonts w:ascii="Times New Roman" w:hAnsi="Times New Roman" w:cs="Times New Roman"/>
          <w:sz w:val="24"/>
          <w:szCs w:val="24"/>
        </w:rPr>
      </w:pPr>
      <w:r w:rsidRPr="00BB1F6D">
        <w:rPr>
          <w:rFonts w:ascii="Times New Roman" w:hAnsi="Times New Roman" w:cs="Times New Roman"/>
          <w:sz w:val="24"/>
          <w:szCs w:val="24"/>
        </w:rPr>
        <w:t>PATVIRTINTA</w:t>
      </w:r>
    </w:p>
    <w:p w:rsidR="008F26AE" w:rsidRPr="00BB1F6D" w:rsidRDefault="008F26AE" w:rsidP="008F26AE">
      <w:pPr>
        <w:spacing w:after="0" w:line="240" w:lineRule="auto"/>
        <w:ind w:left="9639"/>
        <w:rPr>
          <w:rFonts w:ascii="Times New Roman" w:hAnsi="Times New Roman" w:cs="Times New Roman"/>
          <w:sz w:val="24"/>
          <w:szCs w:val="24"/>
        </w:rPr>
      </w:pPr>
      <w:r w:rsidRPr="00BB1F6D">
        <w:rPr>
          <w:rFonts w:ascii="Times New Roman" w:hAnsi="Times New Roman" w:cs="Times New Roman"/>
          <w:sz w:val="24"/>
          <w:szCs w:val="24"/>
        </w:rPr>
        <w:t xml:space="preserve">Skuodo rajono savivaldybės </w:t>
      </w:r>
      <w:r>
        <w:rPr>
          <w:rFonts w:ascii="Times New Roman" w:hAnsi="Times New Roman" w:cs="Times New Roman"/>
          <w:sz w:val="24"/>
          <w:szCs w:val="24"/>
        </w:rPr>
        <w:t>mero</w:t>
      </w:r>
    </w:p>
    <w:p w:rsidR="008F26AE" w:rsidRPr="00BB1F6D" w:rsidRDefault="008F26AE" w:rsidP="008F26AE">
      <w:pPr>
        <w:spacing w:after="0" w:line="240" w:lineRule="auto"/>
        <w:ind w:left="9639"/>
        <w:rPr>
          <w:rFonts w:ascii="Times New Roman" w:hAnsi="Times New Roman" w:cs="Times New Roman"/>
          <w:sz w:val="24"/>
          <w:szCs w:val="24"/>
        </w:rPr>
      </w:pPr>
      <w:r w:rsidRPr="00BB1F6D">
        <w:rPr>
          <w:rFonts w:ascii="Times New Roman" w:hAnsi="Times New Roman" w:cs="Times New Roman"/>
          <w:sz w:val="24"/>
          <w:szCs w:val="24"/>
        </w:rPr>
        <w:t xml:space="preserve">2018 </w:t>
      </w:r>
      <w:proofErr w:type="spellStart"/>
      <w:r w:rsidRPr="00BB1F6D">
        <w:rPr>
          <w:rFonts w:ascii="Times New Roman" w:hAnsi="Times New Roman" w:cs="Times New Roman"/>
          <w:sz w:val="24"/>
          <w:szCs w:val="24"/>
        </w:rPr>
        <w:t>m</w:t>
      </w:r>
      <w:proofErr w:type="spellEnd"/>
      <w:r w:rsidRPr="00BB1F6D">
        <w:rPr>
          <w:rFonts w:ascii="Times New Roman" w:hAnsi="Times New Roman" w:cs="Times New Roman"/>
          <w:sz w:val="24"/>
          <w:szCs w:val="24"/>
        </w:rPr>
        <w:t xml:space="preserve">. birželio 4 </w:t>
      </w:r>
      <w:proofErr w:type="spellStart"/>
      <w:r w:rsidRPr="00BB1F6D">
        <w:rPr>
          <w:rFonts w:ascii="Times New Roman" w:hAnsi="Times New Roman" w:cs="Times New Roman"/>
          <w:sz w:val="24"/>
          <w:szCs w:val="24"/>
        </w:rPr>
        <w:t>d</w:t>
      </w:r>
      <w:proofErr w:type="spellEnd"/>
      <w:r w:rsidRPr="00BB1F6D">
        <w:rPr>
          <w:rFonts w:ascii="Times New Roman" w:hAnsi="Times New Roman" w:cs="Times New Roman"/>
          <w:sz w:val="24"/>
          <w:szCs w:val="24"/>
        </w:rPr>
        <w:t xml:space="preserve">. </w:t>
      </w:r>
      <w:r>
        <w:rPr>
          <w:rFonts w:ascii="Times New Roman" w:hAnsi="Times New Roman" w:cs="Times New Roman"/>
          <w:sz w:val="24"/>
          <w:szCs w:val="24"/>
        </w:rPr>
        <w:t>potvarkiu</w:t>
      </w:r>
      <w:r w:rsidRPr="00BB1F6D">
        <w:rPr>
          <w:rFonts w:ascii="Times New Roman" w:hAnsi="Times New Roman" w:cs="Times New Roman"/>
          <w:sz w:val="24"/>
          <w:szCs w:val="24"/>
        </w:rPr>
        <w:t xml:space="preserve"> </w:t>
      </w:r>
      <w:bookmarkStart w:id="0" w:name="SHOWS"/>
      <w:proofErr w:type="spellStart"/>
      <w:r w:rsidRPr="00BB1F6D">
        <w:rPr>
          <w:rFonts w:ascii="Times New Roman" w:hAnsi="Times New Roman" w:cs="Times New Roman"/>
          <w:sz w:val="24"/>
          <w:szCs w:val="24"/>
        </w:rPr>
        <w:t>Nr</w:t>
      </w:r>
      <w:proofErr w:type="spellEnd"/>
      <w:r w:rsidRPr="00BB1F6D">
        <w:rPr>
          <w:rFonts w:ascii="Times New Roman" w:hAnsi="Times New Roman" w:cs="Times New Roman"/>
          <w:sz w:val="24"/>
          <w:szCs w:val="24"/>
        </w:rPr>
        <w:t>. M2-33</w:t>
      </w:r>
      <w:bookmarkEnd w:id="0"/>
    </w:p>
    <w:p w:rsidR="008F26AE" w:rsidRDefault="008F26AE" w:rsidP="008F26AE">
      <w:pPr>
        <w:spacing w:after="0"/>
        <w:jc w:val="center"/>
        <w:rPr>
          <w:rFonts w:ascii="Times New Roman" w:hAnsi="Times New Roman" w:cs="Times New Roman"/>
          <w:b/>
          <w:sz w:val="28"/>
          <w:szCs w:val="28"/>
        </w:rPr>
      </w:pPr>
    </w:p>
    <w:p w:rsidR="008F26AE" w:rsidRDefault="008F26AE" w:rsidP="008F26AE">
      <w:pPr>
        <w:spacing w:after="0"/>
        <w:jc w:val="center"/>
        <w:rPr>
          <w:rFonts w:ascii="Times New Roman" w:hAnsi="Times New Roman" w:cs="Times New Roman"/>
          <w:b/>
          <w:sz w:val="28"/>
          <w:szCs w:val="28"/>
        </w:rPr>
      </w:pPr>
      <w:r w:rsidRPr="00BB1F6D">
        <w:rPr>
          <w:rFonts w:ascii="Times New Roman" w:hAnsi="Times New Roman" w:cs="Times New Roman"/>
          <w:b/>
          <w:sz w:val="28"/>
          <w:szCs w:val="28"/>
        </w:rPr>
        <w:t>2018-ŲJŲ METŲ ŠVIETIMO ĮSTAIGŲ VADOVŲ UŽDUOTYS</w:t>
      </w:r>
    </w:p>
    <w:p w:rsidR="008F26AE" w:rsidRPr="00E72D5D" w:rsidRDefault="008F26AE" w:rsidP="008F26AE">
      <w:pPr>
        <w:spacing w:after="0"/>
        <w:jc w:val="center"/>
        <w:rPr>
          <w:rFonts w:ascii="Times New Roman" w:hAnsi="Times New Roman" w:cs="Times New Roman"/>
          <w:b/>
          <w:sz w:val="16"/>
          <w:szCs w:val="16"/>
        </w:rPr>
      </w:pPr>
    </w:p>
    <w:p w:rsidR="008F26AE" w:rsidRPr="00BB1F6D" w:rsidRDefault="008F26AE" w:rsidP="008F26AE">
      <w:pPr>
        <w:spacing w:after="0"/>
        <w:jc w:val="center"/>
        <w:rPr>
          <w:rFonts w:ascii="Times New Roman" w:hAnsi="Times New Roman" w:cs="Times New Roman"/>
          <w:b/>
          <w:sz w:val="28"/>
          <w:szCs w:val="28"/>
        </w:rPr>
      </w:pPr>
      <w:r w:rsidRPr="00BB1F6D">
        <w:rPr>
          <w:rFonts w:ascii="Times New Roman" w:hAnsi="Times New Roman" w:cs="Times New Roman"/>
          <w:b/>
          <w:sz w:val="28"/>
          <w:szCs w:val="28"/>
        </w:rPr>
        <w:t>Skuodo Bartuv</w:t>
      </w:r>
      <w:r>
        <w:rPr>
          <w:rFonts w:ascii="Times New Roman" w:hAnsi="Times New Roman" w:cs="Times New Roman"/>
          <w:b/>
          <w:sz w:val="28"/>
          <w:szCs w:val="28"/>
        </w:rPr>
        <w:t>o</w:t>
      </w:r>
      <w:r w:rsidRPr="00BB1F6D">
        <w:rPr>
          <w:rFonts w:ascii="Times New Roman" w:hAnsi="Times New Roman" w:cs="Times New Roman"/>
          <w:b/>
          <w:sz w:val="28"/>
          <w:szCs w:val="28"/>
        </w:rPr>
        <w:t>s progimnazija</w:t>
      </w:r>
    </w:p>
    <w:tbl>
      <w:tblPr>
        <w:tblStyle w:val="Lentelstinklelis"/>
        <w:tblW w:w="14454" w:type="dxa"/>
        <w:jc w:val="center"/>
        <w:tblLook w:val="04A0" w:firstRow="1" w:lastRow="0" w:firstColumn="1" w:lastColumn="0" w:noHBand="0" w:noVBand="1"/>
      </w:tblPr>
      <w:tblGrid>
        <w:gridCol w:w="540"/>
        <w:gridCol w:w="2802"/>
        <w:gridCol w:w="4166"/>
        <w:gridCol w:w="3827"/>
        <w:gridCol w:w="3119"/>
      </w:tblGrid>
      <w:tr w:rsidR="008F26AE" w:rsidRPr="008F26AE" w:rsidTr="008D17B5">
        <w:trPr>
          <w:jc w:val="center"/>
        </w:trPr>
        <w:tc>
          <w:tcPr>
            <w:tcW w:w="540" w:type="dxa"/>
          </w:tcPr>
          <w:p w:rsidR="008F26AE" w:rsidRPr="008F26AE" w:rsidRDefault="008F26AE" w:rsidP="008D17B5">
            <w:pPr>
              <w:jc w:val="center"/>
              <w:rPr>
                <w:rFonts w:ascii="Times New Roman" w:hAnsi="Times New Roman" w:cs="Times New Roman"/>
                <w:b/>
                <w:lang w:val="lt-LT"/>
              </w:rPr>
            </w:pPr>
            <w:proofErr w:type="spellStart"/>
            <w:r w:rsidRPr="008F26AE">
              <w:rPr>
                <w:rFonts w:ascii="Times New Roman" w:hAnsi="Times New Roman" w:cs="Times New Roman"/>
                <w:b/>
                <w:lang w:val="lt-LT"/>
              </w:rPr>
              <w:t>Eil</w:t>
            </w:r>
            <w:proofErr w:type="spellEnd"/>
            <w:r w:rsidRPr="008F26AE">
              <w:rPr>
                <w:rFonts w:ascii="Times New Roman" w:hAnsi="Times New Roman" w:cs="Times New Roman"/>
                <w:b/>
                <w:lang w:val="lt-LT"/>
              </w:rPr>
              <w:t xml:space="preserve">. </w:t>
            </w:r>
            <w:proofErr w:type="spellStart"/>
            <w:r w:rsidRPr="008F26AE">
              <w:rPr>
                <w:rFonts w:ascii="Times New Roman" w:hAnsi="Times New Roman" w:cs="Times New Roman"/>
                <w:b/>
                <w:lang w:val="lt-LT"/>
              </w:rPr>
              <w:t>Nr</w:t>
            </w:r>
            <w:proofErr w:type="spellEnd"/>
            <w:r w:rsidRPr="008F26AE">
              <w:rPr>
                <w:rFonts w:ascii="Times New Roman" w:hAnsi="Times New Roman" w:cs="Times New Roman"/>
                <w:b/>
                <w:lang w:val="lt-LT"/>
              </w:rPr>
              <w:t>.</w:t>
            </w:r>
          </w:p>
        </w:tc>
        <w:tc>
          <w:tcPr>
            <w:tcW w:w="2802" w:type="dxa"/>
          </w:tcPr>
          <w:p w:rsidR="008F26AE" w:rsidRPr="008F26AE" w:rsidRDefault="008F26AE" w:rsidP="008D17B5">
            <w:pPr>
              <w:jc w:val="center"/>
              <w:rPr>
                <w:rFonts w:ascii="Times New Roman" w:hAnsi="Times New Roman" w:cs="Times New Roman"/>
                <w:b/>
                <w:lang w:val="lt-LT"/>
              </w:rPr>
            </w:pPr>
            <w:r w:rsidRPr="008F26AE">
              <w:rPr>
                <w:rFonts w:ascii="Times New Roman" w:hAnsi="Times New Roman" w:cs="Times New Roman"/>
                <w:b/>
                <w:lang w:val="lt-LT"/>
              </w:rPr>
              <w:t>Metinės veiklos užduotys</w:t>
            </w:r>
          </w:p>
        </w:tc>
        <w:tc>
          <w:tcPr>
            <w:tcW w:w="4166" w:type="dxa"/>
          </w:tcPr>
          <w:p w:rsidR="008F26AE" w:rsidRPr="008F26AE" w:rsidRDefault="008F26AE" w:rsidP="008D17B5">
            <w:pPr>
              <w:jc w:val="center"/>
              <w:rPr>
                <w:rFonts w:ascii="Times New Roman" w:hAnsi="Times New Roman" w:cs="Times New Roman"/>
                <w:b/>
                <w:lang w:val="lt-LT"/>
              </w:rPr>
            </w:pPr>
            <w:r w:rsidRPr="008F26AE">
              <w:rPr>
                <w:rFonts w:ascii="Times New Roman" w:hAnsi="Times New Roman" w:cs="Times New Roman"/>
                <w:b/>
                <w:lang w:val="lt-LT"/>
              </w:rPr>
              <w:t>Siektini veiklos rezultatai</w:t>
            </w:r>
          </w:p>
        </w:tc>
        <w:tc>
          <w:tcPr>
            <w:tcW w:w="3827" w:type="dxa"/>
          </w:tcPr>
          <w:p w:rsidR="008F26AE" w:rsidRPr="008F26AE" w:rsidRDefault="008F26AE" w:rsidP="008D17B5">
            <w:pPr>
              <w:jc w:val="center"/>
              <w:rPr>
                <w:rFonts w:ascii="Times New Roman" w:hAnsi="Times New Roman" w:cs="Times New Roman"/>
                <w:b/>
                <w:lang w:val="lt-LT"/>
              </w:rPr>
            </w:pPr>
            <w:r w:rsidRPr="008F26AE">
              <w:rPr>
                <w:rFonts w:ascii="Times New Roman" w:hAnsi="Times New Roman" w:cs="Times New Roman"/>
                <w:b/>
                <w:lang w:val="lt-LT"/>
              </w:rPr>
              <w:t xml:space="preserve">Rezultatų vertinimo rodikliai </w:t>
            </w:r>
          </w:p>
        </w:tc>
        <w:tc>
          <w:tcPr>
            <w:tcW w:w="3119" w:type="dxa"/>
          </w:tcPr>
          <w:p w:rsidR="008F26AE" w:rsidRPr="008F26AE" w:rsidRDefault="008F26AE" w:rsidP="008D17B5">
            <w:pPr>
              <w:jc w:val="center"/>
              <w:rPr>
                <w:rFonts w:ascii="Times New Roman" w:hAnsi="Times New Roman" w:cs="Times New Roman"/>
                <w:b/>
                <w:lang w:val="lt-LT"/>
              </w:rPr>
            </w:pPr>
            <w:r w:rsidRPr="008F26AE">
              <w:rPr>
                <w:rFonts w:ascii="Times New Roman" w:hAnsi="Times New Roman" w:cs="Times New Roman"/>
                <w:b/>
                <w:lang w:val="lt-LT"/>
              </w:rPr>
              <w:t>Galima rizika</w:t>
            </w:r>
          </w:p>
        </w:tc>
      </w:tr>
      <w:tr w:rsidR="008F26AE" w:rsidRPr="008F26AE" w:rsidTr="008F26AE">
        <w:trPr>
          <w:trHeight w:val="3573"/>
          <w:jc w:val="center"/>
        </w:trPr>
        <w:tc>
          <w:tcPr>
            <w:tcW w:w="540"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1.</w:t>
            </w:r>
          </w:p>
        </w:tc>
        <w:tc>
          <w:tcPr>
            <w:tcW w:w="2802"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Užtikrinti švietimo įstaigos kokybišką veiklą, siekiant suasmeninti mokymą (si), sėkmingai organizuoti skirtingų gebėjimų mokinių ugdymą (si).</w:t>
            </w:r>
          </w:p>
        </w:tc>
        <w:tc>
          <w:tcPr>
            <w:tcW w:w="4166" w:type="dxa"/>
          </w:tcPr>
          <w:p w:rsidR="008F26AE" w:rsidRPr="008F26AE" w:rsidRDefault="008F26AE" w:rsidP="008F26AE">
            <w:pPr>
              <w:rPr>
                <w:rFonts w:ascii="Times New Roman" w:hAnsi="Times New Roman" w:cs="Times New Roman"/>
                <w:sz w:val="24"/>
                <w:szCs w:val="24"/>
                <w:lang w:val="lt-LT"/>
              </w:rPr>
            </w:pPr>
            <w:r w:rsidRPr="008F26AE">
              <w:rPr>
                <w:rFonts w:ascii="Times New Roman" w:hAnsi="Times New Roman" w:cs="Times New Roman"/>
                <w:sz w:val="24"/>
                <w:szCs w:val="24"/>
                <w:lang w:val="lt-LT"/>
              </w:rPr>
              <w:t>Kiekvienas klasės ir dalyko mokytojas ruošia pamokų individualizuotą ir diferencijuotą medžiagą, individualizuotas ir pritaikytas ugdymo programas specialiųjų ugdymo (si) poreikių mokiniams, progimnazijos administracija stebi procesą, jį analizuoja su mokytojais. Kiekvieną mėnesį organizuojami mokytojų pokalbiai-aptarimai su mokiniais apie tobulintinus dalykus. Apibendrinti proceso stebėjimo rezultatai yra pristatomi Mokytojų tarybos posėdyje.</w:t>
            </w:r>
            <w:bookmarkStart w:id="1" w:name="_GoBack"/>
            <w:bookmarkEnd w:id="1"/>
          </w:p>
        </w:tc>
        <w:tc>
          <w:tcPr>
            <w:tcW w:w="3827"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1. Parengta visų mokytojų individualizuota ir diferencijuota medžiaga atskiroms pamokoms</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2. Parengtos individualizuotos ir pritaikytos ugdymo programos specialiųjų ugdymo (si) poreikių mokiniams</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3. Veikla yra fiksuojama vaiko individualios pažangos (VIP) lapuose.</w:t>
            </w:r>
          </w:p>
        </w:tc>
        <w:tc>
          <w:tcPr>
            <w:tcW w:w="3119"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 xml:space="preserve">Žmogiškieji ištekliai (nedarbingumas ir </w:t>
            </w:r>
            <w:proofErr w:type="spellStart"/>
            <w:r w:rsidRPr="008F26AE">
              <w:rPr>
                <w:rFonts w:ascii="Times New Roman" w:hAnsi="Times New Roman" w:cs="Times New Roman"/>
                <w:sz w:val="24"/>
                <w:szCs w:val="24"/>
                <w:lang w:val="lt-LT"/>
              </w:rPr>
              <w:t>kt</w:t>
            </w:r>
            <w:proofErr w:type="spellEnd"/>
            <w:r w:rsidRPr="008F26AE">
              <w:rPr>
                <w:rFonts w:ascii="Times New Roman" w:hAnsi="Times New Roman" w:cs="Times New Roman"/>
                <w:sz w:val="24"/>
                <w:szCs w:val="24"/>
                <w:lang w:val="lt-LT"/>
              </w:rPr>
              <w:t>.)</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Teisės aktų pakeitimai</w:t>
            </w:r>
          </w:p>
        </w:tc>
      </w:tr>
      <w:tr w:rsidR="008F26AE" w:rsidRPr="008F26AE" w:rsidTr="008D17B5">
        <w:trPr>
          <w:jc w:val="center"/>
        </w:trPr>
        <w:tc>
          <w:tcPr>
            <w:tcW w:w="540"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 xml:space="preserve">2. </w:t>
            </w:r>
          </w:p>
        </w:tc>
        <w:tc>
          <w:tcPr>
            <w:tcW w:w="2802"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 xml:space="preserve">Užtikrinti, kad progimnazijoje būtų sėkmingai įgyvendinta nauja valstybinių institucijų planuojama mokytojų darbo užmokesčio sistema, tinkamai atlikta veikla pasitarnautų </w:t>
            </w:r>
            <w:r w:rsidRPr="008F26AE">
              <w:rPr>
                <w:rFonts w:ascii="Times New Roman" w:hAnsi="Times New Roman" w:cs="Times New Roman"/>
                <w:sz w:val="24"/>
                <w:szCs w:val="24"/>
                <w:lang w:val="lt-LT"/>
              </w:rPr>
              <w:lastRenderedPageBreak/>
              <w:t>progimnazijos veiklos tobulinimui.</w:t>
            </w:r>
          </w:p>
        </w:tc>
        <w:tc>
          <w:tcPr>
            <w:tcW w:w="4166" w:type="dxa"/>
          </w:tcPr>
          <w:p w:rsidR="008F26AE" w:rsidRPr="008F26AE" w:rsidRDefault="008F26AE" w:rsidP="008D17B5">
            <w:pPr>
              <w:rPr>
                <w:rFonts w:ascii="Times New Roman" w:hAnsi="Times New Roman" w:cs="Times New Roman"/>
                <w:sz w:val="24"/>
                <w:szCs w:val="24"/>
                <w:highlight w:val="yellow"/>
                <w:lang w:val="lt-LT"/>
              </w:rPr>
            </w:pPr>
            <w:r w:rsidRPr="008F26AE">
              <w:rPr>
                <w:rFonts w:ascii="Times New Roman" w:hAnsi="Times New Roman" w:cs="Times New Roman"/>
                <w:sz w:val="24"/>
                <w:szCs w:val="24"/>
                <w:lang w:val="lt-LT"/>
              </w:rPr>
              <w:lastRenderedPageBreak/>
              <w:t xml:space="preserve">Progimnazija, atsižvelgdama į numatomą mokytojų etatinio darbo užmokesčio sistemos įvedimą, parengia reikalingus dokumentus, koreguoja ugdymo planus, parengia naujus mokytojų ir pagalbos mokiniui specialistų pareigybių aprašymus, numato ir tvirtina mokytojų etatų skaičių bei sąrašus ir </w:t>
            </w:r>
            <w:proofErr w:type="spellStart"/>
            <w:r w:rsidRPr="008F26AE">
              <w:rPr>
                <w:rFonts w:ascii="Times New Roman" w:hAnsi="Times New Roman" w:cs="Times New Roman"/>
                <w:sz w:val="24"/>
                <w:szCs w:val="24"/>
                <w:lang w:val="lt-LT"/>
              </w:rPr>
              <w:t>kt</w:t>
            </w:r>
            <w:proofErr w:type="spellEnd"/>
            <w:r w:rsidRPr="008F26AE">
              <w:rPr>
                <w:rFonts w:ascii="Times New Roman" w:hAnsi="Times New Roman" w:cs="Times New Roman"/>
                <w:sz w:val="24"/>
                <w:szCs w:val="24"/>
                <w:lang w:val="lt-LT"/>
              </w:rPr>
              <w:t>.</w:t>
            </w:r>
          </w:p>
        </w:tc>
        <w:tc>
          <w:tcPr>
            <w:tcW w:w="3827"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1. Parengti visų mokytojų nauji pareigybių aprašymai</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2. Patvirtintas mokytojų etatų skaičius bei sąrašas</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3. Sudarytos naujos darbo sutartys su visais mokytojais</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4. Įvestas etatinis apmokėjimas.</w:t>
            </w:r>
          </w:p>
        </w:tc>
        <w:tc>
          <w:tcPr>
            <w:tcW w:w="3119"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Teisės aktų pakeitimai</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Lėšų trūkumas darbams atlikti</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Laiku nepateikta informacija</w:t>
            </w:r>
          </w:p>
          <w:p w:rsidR="008F26AE" w:rsidRPr="008F26AE" w:rsidRDefault="008F26AE" w:rsidP="008D17B5">
            <w:pPr>
              <w:rPr>
                <w:rFonts w:ascii="Times New Roman" w:hAnsi="Times New Roman" w:cs="Times New Roman"/>
                <w:sz w:val="24"/>
                <w:szCs w:val="24"/>
                <w:lang w:val="lt-LT"/>
              </w:rPr>
            </w:pPr>
          </w:p>
        </w:tc>
      </w:tr>
      <w:tr w:rsidR="008F26AE" w:rsidRPr="008F26AE" w:rsidTr="008F26AE">
        <w:trPr>
          <w:trHeight w:val="1773"/>
          <w:jc w:val="center"/>
        </w:trPr>
        <w:tc>
          <w:tcPr>
            <w:tcW w:w="540"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lastRenderedPageBreak/>
              <w:t>3.</w:t>
            </w:r>
          </w:p>
        </w:tc>
        <w:tc>
          <w:tcPr>
            <w:tcW w:w="2802"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Įvairinti mokinių formaliojo ir neformaliojo švietimo veiklas, pasinaudojant paramos fondų, kitų rėmėjų lėšomis.</w:t>
            </w:r>
          </w:p>
        </w:tc>
        <w:tc>
          <w:tcPr>
            <w:tcW w:w="4166"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Progimnazija, organizuodama papildomas ugdomąsias veiklas formalioje ir neformalioje aplinkose, praturtina ugdymo turinį bei materialinę bazę, motyvuoja mokinius, buria progimnazijos bendruomenę bei bendradarbiaujančius partnerius.</w:t>
            </w:r>
          </w:p>
        </w:tc>
        <w:tc>
          <w:tcPr>
            <w:tcW w:w="3827"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1. Parengtos ne mažiau kaip 4 projektinės paraiškos paramai iš įvairių fondų gauti.</w:t>
            </w:r>
          </w:p>
        </w:tc>
        <w:tc>
          <w:tcPr>
            <w:tcW w:w="3119"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 xml:space="preserve">Žmogiškieji ištekliai (nedarbingumas ir </w:t>
            </w:r>
            <w:proofErr w:type="spellStart"/>
            <w:r w:rsidRPr="008F26AE">
              <w:rPr>
                <w:rFonts w:ascii="Times New Roman" w:hAnsi="Times New Roman" w:cs="Times New Roman"/>
                <w:sz w:val="24"/>
                <w:szCs w:val="24"/>
                <w:lang w:val="lt-LT"/>
              </w:rPr>
              <w:t>kt</w:t>
            </w:r>
            <w:proofErr w:type="spellEnd"/>
            <w:r w:rsidRPr="008F26AE">
              <w:rPr>
                <w:rFonts w:ascii="Times New Roman" w:hAnsi="Times New Roman" w:cs="Times New Roman"/>
                <w:sz w:val="24"/>
                <w:szCs w:val="24"/>
                <w:lang w:val="lt-LT"/>
              </w:rPr>
              <w:t>.)</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Laiku nepateikta informacija</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Trečiųjų šalių įsipareigojimų nevykdymas</w:t>
            </w:r>
          </w:p>
        </w:tc>
      </w:tr>
      <w:tr w:rsidR="008F26AE" w:rsidRPr="008F26AE" w:rsidTr="008D17B5">
        <w:trPr>
          <w:jc w:val="center"/>
        </w:trPr>
        <w:tc>
          <w:tcPr>
            <w:tcW w:w="540"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 xml:space="preserve">4. </w:t>
            </w:r>
          </w:p>
        </w:tc>
        <w:tc>
          <w:tcPr>
            <w:tcW w:w="2802"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Siekiant geresnių ugdymo (si) rezultatų, kurti saugią ir kūrybingą ugdymo (si) aplinką</w:t>
            </w:r>
          </w:p>
        </w:tc>
        <w:tc>
          <w:tcPr>
            <w:tcW w:w="4166"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Saugi ir kūrybinga aplinka pagerina mokinių pasiekimus ir pažangą, mažėja patyčių atvejų tarp mokinių, vaizdo stebėjimo kameros užtikrina mokinių saugumą, žaidimų aikštelė ir treniruokliai užtikrina mokinių aktyvų poilsį pertraukų metu ir po pamokų, įrengtos naujos edukacinės erdvės motyvuoja mokinius siekti geresnių ugdymo (si) rezultatų.</w:t>
            </w:r>
          </w:p>
        </w:tc>
        <w:tc>
          <w:tcPr>
            <w:tcW w:w="3827"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1. 3–5 procentais sumažėja patyčių atvejų progimnazijoje.</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 xml:space="preserve"> 2. Progimnazijoje įrengtos 7 vaizdo stebėjimo kameros</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3. Įrengta žaidimų aikštelė priešmokyklinio ugdymo grupės vaikams, ji aptverta tvora.</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 xml:space="preserve">4. Įrengta matematinė erdvė progimnazijoje. </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5. Kabinetai ir klasės aprūpinti įvairiomis mokymo priemonėmis: 10 naujų kompiuterių, 2 interaktyvios lentos</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 xml:space="preserve">6. Įrengti 5 treniruokliai stadione </w:t>
            </w:r>
          </w:p>
        </w:tc>
        <w:tc>
          <w:tcPr>
            <w:tcW w:w="3119" w:type="dxa"/>
          </w:tcPr>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Teisės aktų pakeitimai</w:t>
            </w:r>
          </w:p>
          <w:p w:rsidR="008F26AE" w:rsidRPr="008F26AE" w:rsidRDefault="008F26AE" w:rsidP="008D17B5">
            <w:pPr>
              <w:rPr>
                <w:rFonts w:ascii="Times New Roman" w:hAnsi="Times New Roman" w:cs="Times New Roman"/>
                <w:sz w:val="24"/>
                <w:szCs w:val="24"/>
                <w:lang w:val="lt-LT"/>
              </w:rPr>
            </w:pPr>
            <w:r w:rsidRPr="008F26AE">
              <w:rPr>
                <w:rFonts w:ascii="Times New Roman" w:hAnsi="Times New Roman" w:cs="Times New Roman"/>
                <w:sz w:val="24"/>
                <w:szCs w:val="24"/>
                <w:lang w:val="lt-LT"/>
              </w:rPr>
              <w:t>Lėšų trūkumas darbams atlikti</w:t>
            </w:r>
          </w:p>
          <w:p w:rsidR="008F26AE" w:rsidRPr="008F26AE" w:rsidRDefault="008F26AE" w:rsidP="008D17B5">
            <w:pPr>
              <w:rPr>
                <w:rFonts w:ascii="Times New Roman" w:hAnsi="Times New Roman" w:cs="Times New Roman"/>
                <w:sz w:val="24"/>
                <w:szCs w:val="24"/>
                <w:lang w:val="lt-LT"/>
              </w:rPr>
            </w:pPr>
          </w:p>
        </w:tc>
      </w:tr>
    </w:tbl>
    <w:p w:rsidR="005649BB" w:rsidRPr="008F26AE" w:rsidRDefault="005649BB"/>
    <w:sectPr w:rsidR="005649BB" w:rsidRPr="008F26AE" w:rsidSect="008F26AE">
      <w:pgSz w:w="16838" w:h="11906" w:orient="landscape"/>
      <w:pgMar w:top="1440" w:right="1440"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AE"/>
    <w:rsid w:val="005649BB"/>
    <w:rsid w:val="008F26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26AE"/>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F26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26AE"/>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F26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2168</Words>
  <Characters>1237</Characters>
  <Application>Microsoft Office Word</Application>
  <DocSecurity>0</DocSecurity>
  <Lines>10</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2018-06-14T13:00:00Z</dcterms:created>
  <dcterms:modified xsi:type="dcterms:W3CDTF">2018-06-14T13:03:00Z</dcterms:modified>
</cp:coreProperties>
</file>